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仿宋_GB2312" w:hAnsi="微软雅黑" w:eastAsia="仿宋_GB2312" w:cs="宋体"/>
          <w:b/>
          <w:bCs/>
          <w:color w:val="000000" w:themeColor="text1"/>
          <w:kern w:val="0"/>
          <w:sz w:val="32"/>
          <w:szCs w:val="32"/>
          <w14:textFill>
            <w14:solidFill>
              <w14:schemeClr w14:val="tx1"/>
            </w14:solidFill>
          </w14:textFill>
        </w:rPr>
      </w:pPr>
      <w:r>
        <w:rPr>
          <w:rFonts w:hint="eastAsia" w:ascii="仿宋_GB2312" w:hAnsi="微软雅黑" w:eastAsia="仿宋_GB2312" w:cs="宋体"/>
          <w:b/>
          <w:bCs/>
          <w:color w:val="000000" w:themeColor="text1"/>
          <w:kern w:val="0"/>
          <w:sz w:val="32"/>
          <w:szCs w:val="32"/>
          <w14:textFill>
            <w14:solidFill>
              <w14:schemeClr w14:val="tx1"/>
            </w14:solidFill>
          </w14:textFill>
        </w:rPr>
        <w:t>关于开展厦门海洋职业技术学院数字化赋能专业建设高质量研修班暨数字赋能示范专业论证的通知</w:t>
      </w:r>
    </w:p>
    <w:p>
      <w:pPr>
        <w:widowControl/>
        <w:jc w:val="center"/>
        <w:rPr>
          <w:rFonts w:ascii="仿宋_GB2312" w:hAnsi="微软雅黑" w:eastAsia="仿宋_GB2312" w:cs="宋体"/>
          <w:color w:val="000000" w:themeColor="text1"/>
          <w:kern w:val="0"/>
          <w:sz w:val="30"/>
          <w:szCs w:val="30"/>
          <w14:textFill>
            <w14:solidFill>
              <w14:schemeClr w14:val="tx1"/>
            </w14:solidFill>
          </w14:textFill>
        </w:rPr>
      </w:pPr>
    </w:p>
    <w:p>
      <w:pPr>
        <w:widowControl/>
        <w:jc w:val="left"/>
        <w:rPr>
          <w:rFonts w:hint="eastAsia" w:ascii="仿宋_GB2312" w:hAnsi="微软雅黑" w:eastAsia="仿宋_GB2312" w:cs="宋体"/>
          <w:color w:val="000000" w:themeColor="text1"/>
          <w:kern w:val="0"/>
          <w:sz w:val="28"/>
          <w:szCs w:val="28"/>
          <w:shd w:val="clear" w:color="auto" w:fill="FFFFFF"/>
          <w:lang w:eastAsia="zh-CN"/>
          <w14:textFill>
            <w14:solidFill>
              <w14:schemeClr w14:val="tx1"/>
            </w14:solidFill>
          </w14:textFill>
        </w:rPr>
      </w:pPr>
      <w:r>
        <w:rPr>
          <w:rFonts w:hint="eastAsia" w:ascii="仿宋_GB2312" w:hAnsi="微软雅黑" w:eastAsia="仿宋_GB2312" w:cs="宋体"/>
          <w:color w:val="000000" w:themeColor="text1"/>
          <w:kern w:val="0"/>
          <w:sz w:val="28"/>
          <w:szCs w:val="28"/>
          <w:shd w:val="clear" w:color="auto" w:fill="FFFFFF"/>
          <w14:textFill>
            <w14:solidFill>
              <w14:schemeClr w14:val="tx1"/>
            </w14:solidFill>
          </w14:textFill>
        </w:rPr>
        <w:t> 各学院、各部门：</w:t>
      </w:r>
    </w:p>
    <w:p>
      <w:pPr>
        <w:widowControl/>
        <w:jc w:val="left"/>
        <w:rPr>
          <w:rFonts w:hint="eastAsia" w:ascii="仿宋_GB2312" w:hAnsi="微软雅黑" w:eastAsia="仿宋_GB2312" w:cs="宋体"/>
          <w:color w:val="000000" w:themeColor="text1"/>
          <w:kern w:val="0"/>
          <w:sz w:val="28"/>
          <w:szCs w:val="28"/>
          <w:shd w:val="clear" w:color="auto" w:fill="FFFFFF"/>
          <w:lang w:eastAsia="zh-CN"/>
          <w14:textFill>
            <w14:solidFill>
              <w14:schemeClr w14:val="tx1"/>
            </w14:solidFill>
          </w14:textFill>
        </w:rPr>
      </w:pPr>
    </w:p>
    <w:p>
      <w:pPr>
        <w:spacing w:line="480" w:lineRule="exact"/>
        <w:ind w:firstLine="560" w:firstLineChars="200"/>
        <w:rPr>
          <w:rFonts w:ascii="仿宋_GB2312" w:hAnsi="微软雅黑" w:eastAsia="仿宋_GB2312" w:cs="宋体"/>
          <w:color w:val="000000" w:themeColor="text1"/>
          <w:kern w:val="0"/>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为加快推动我校专业升级和数字化改造，稳步推进“双高校项目”专业发展和职业本科筹建工作，落实高水平职业院校和专业建设计划实施方案，根据《厦门海洋职业技术学院数字化赋能专业改造与升级行动计划》</w:t>
      </w:r>
      <w:r>
        <w:rPr>
          <w:rFonts w:hint="eastAsia" w:ascii="仿宋_GB2312" w:hAnsi="微软雅黑" w:eastAsia="仿宋_GB2312" w:cs="宋体"/>
          <w:color w:val="000000" w:themeColor="text1"/>
          <w:kern w:val="0"/>
          <w:sz w:val="28"/>
          <w:szCs w:val="28"/>
          <w14:textFill>
            <w14:solidFill>
              <w14:schemeClr w14:val="tx1"/>
            </w14:solidFill>
          </w14:textFill>
        </w:rPr>
        <w:t>，现定于1月14-16日在思明区金桥酒店开展专题培训 。</w:t>
      </w:r>
    </w:p>
    <w:p>
      <w:pPr>
        <w:spacing w:line="480" w:lineRule="exact"/>
        <w:rPr>
          <w:rFonts w:ascii="仿宋_GB2312" w:eastAsia="仿宋_GB2312"/>
          <w:b/>
          <w:color w:val="000000" w:themeColor="text1"/>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一、研修对象</w:t>
      </w:r>
    </w:p>
    <w:p>
      <w:pPr>
        <w:spacing w:line="480" w:lineRule="exact"/>
        <w:ind w:firstLine="560" w:firstLineChars="200"/>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lang w:eastAsia="zh-CN"/>
          <w14:textFill>
            <w14:solidFill>
              <w14:schemeClr w14:val="tx1"/>
            </w14:solidFill>
          </w14:textFill>
        </w:rPr>
        <w:t>二级学院院长、</w:t>
      </w:r>
      <w:r>
        <w:rPr>
          <w:rFonts w:hint="eastAsia" w:ascii="仿宋_GB2312" w:eastAsia="仿宋_GB2312" w:hAnsiTheme="minorEastAsia"/>
          <w:color w:val="000000" w:themeColor="text1"/>
          <w:sz w:val="28"/>
          <w:szCs w:val="28"/>
          <w14:textFill>
            <w14:solidFill>
              <w14:schemeClr w14:val="tx1"/>
            </w14:solidFill>
          </w14:textFill>
        </w:rPr>
        <w:t>教研室主任、</w:t>
      </w:r>
      <w:r>
        <w:rPr>
          <w:rFonts w:hint="eastAsia" w:ascii="仿宋_GB2312" w:eastAsia="仿宋_GB2312" w:hAnsiTheme="minorEastAsia"/>
          <w:color w:val="000000" w:themeColor="text1"/>
          <w:sz w:val="28"/>
          <w:szCs w:val="28"/>
          <w:lang w:eastAsia="zh-CN"/>
          <w14:textFill>
            <w14:solidFill>
              <w14:schemeClr w14:val="tx1"/>
            </w14:solidFill>
          </w14:textFill>
        </w:rPr>
        <w:t>专业负责人、</w:t>
      </w:r>
      <w:r>
        <w:rPr>
          <w:rFonts w:hint="eastAsia" w:ascii="仿宋_GB2312" w:eastAsia="仿宋_GB2312" w:hAnsiTheme="minorEastAsia"/>
          <w:color w:val="000000" w:themeColor="text1"/>
          <w:sz w:val="28"/>
          <w:szCs w:val="28"/>
          <w14:textFill>
            <w14:solidFill>
              <w14:schemeClr w14:val="tx1"/>
            </w14:solidFill>
          </w14:textFill>
        </w:rPr>
        <w:t>教学管理人员、相关职能部门管理人员等。</w:t>
      </w:r>
    </w:p>
    <w:p>
      <w:pPr>
        <w:spacing w:line="480" w:lineRule="exact"/>
        <w:rPr>
          <w:rFonts w:ascii="仿宋_GB2312" w:eastAsia="仿宋_GB2312" w:hAnsiTheme="minorEastAsia"/>
          <w:b/>
          <w:color w:val="000000" w:themeColor="text1"/>
          <w:sz w:val="28"/>
          <w:szCs w:val="28"/>
          <w14:textFill>
            <w14:solidFill>
              <w14:schemeClr w14:val="tx1"/>
            </w14:solidFill>
          </w14:textFill>
        </w:rPr>
      </w:pPr>
      <w:r>
        <w:rPr>
          <w:rFonts w:hint="eastAsia" w:ascii="仿宋_GB2312" w:eastAsia="仿宋_GB2312" w:hAnsiTheme="minorEastAsia"/>
          <w:b/>
          <w:color w:val="000000" w:themeColor="text1"/>
          <w:sz w:val="28"/>
          <w:szCs w:val="28"/>
          <w14:textFill>
            <w14:solidFill>
              <w14:schemeClr w14:val="tx1"/>
            </w14:solidFill>
          </w14:textFill>
        </w:rPr>
        <w:t>二、承办单位及培训时间、地点</w:t>
      </w:r>
    </w:p>
    <w:p>
      <w:pPr>
        <w:spacing w:line="480" w:lineRule="exact"/>
        <w:ind w:firstLine="560" w:firstLineChars="200"/>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承办单位：中国高等教育培训中心</w:t>
      </w:r>
    </w:p>
    <w:p>
      <w:pPr>
        <w:spacing w:line="480" w:lineRule="exact"/>
        <w:ind w:firstLine="560" w:firstLineChars="200"/>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时间：2022年1月14日-16日（14日报到，17日离会）</w:t>
      </w:r>
    </w:p>
    <w:p>
      <w:pPr>
        <w:spacing w:line="480" w:lineRule="exact"/>
        <w:ind w:firstLine="560" w:firstLineChars="200"/>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地点：福建省厦门市金桥酒店五楼金桥厅</w:t>
      </w:r>
    </w:p>
    <w:p>
      <w:pPr>
        <w:spacing w:line="480" w:lineRule="exact"/>
        <w:rPr>
          <w:rFonts w:ascii="仿宋_GB2312" w:eastAsia="仿宋_GB2312" w:hAnsiTheme="minorEastAsia"/>
          <w:b/>
          <w:color w:val="000000" w:themeColor="text1"/>
          <w:sz w:val="28"/>
          <w:szCs w:val="28"/>
          <w14:textFill>
            <w14:solidFill>
              <w14:schemeClr w14:val="tx1"/>
            </w14:solidFill>
          </w14:textFill>
        </w:rPr>
      </w:pPr>
      <w:r>
        <w:rPr>
          <w:rFonts w:hint="eastAsia" w:ascii="仿宋_GB2312" w:eastAsia="仿宋_GB2312" w:hAnsiTheme="minorEastAsia"/>
          <w:b/>
          <w:color w:val="000000" w:themeColor="text1"/>
          <w:sz w:val="28"/>
          <w:szCs w:val="28"/>
          <w14:textFill>
            <w14:solidFill>
              <w14:schemeClr w14:val="tx1"/>
            </w14:solidFill>
          </w14:textFill>
        </w:rPr>
        <w:t>三、日程安排</w:t>
      </w:r>
    </w:p>
    <w:tbl>
      <w:tblPr>
        <w:tblStyle w:val="5"/>
        <w:tblW w:w="8624" w:type="dxa"/>
        <w:tblInd w:w="-15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59"/>
        <w:gridCol w:w="1498"/>
        <w:gridCol w:w="3115"/>
        <w:gridCol w:w="26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8" w:type="dxa"/>
            <w:tcBorders>
              <w:top w:val="single" w:color="auto" w:sz="8" w:space="0"/>
              <w:bottom w:val="single" w:color="auto" w:sz="8" w:space="0"/>
            </w:tcBorders>
            <w:shd w:val="clear" w:color="auto" w:fill="5B9BD5" w:themeFill="accent1"/>
            <w:vAlign w:val="center"/>
          </w:tcPr>
          <w:p>
            <w:pPr>
              <w:jc w:val="center"/>
              <w:rPr>
                <w:rFonts w:ascii="仿宋_GB2312" w:hAnsi="Times New Roman" w:eastAsia="仿宋_GB2312" w:cs="Times New Roman"/>
                <w:b/>
                <w:color w:val="000000" w:themeColor="text1"/>
                <w:kern w:val="0"/>
                <w:sz w:val="24"/>
                <w:szCs w:val="20"/>
                <w14:textFill>
                  <w14:solidFill>
                    <w14:schemeClr w14:val="tx1"/>
                  </w14:solidFill>
                </w14:textFill>
              </w:rPr>
            </w:pPr>
            <w:r>
              <w:rPr>
                <w:rFonts w:hint="eastAsia" w:ascii="仿宋_GB2312" w:hAnsi="Times New Roman" w:eastAsia="仿宋_GB2312" w:cs="Times New Roman"/>
                <w:b/>
                <w:color w:val="000000" w:themeColor="text1"/>
                <w:kern w:val="0"/>
                <w:sz w:val="24"/>
                <w:szCs w:val="20"/>
                <w14:textFill>
                  <w14:solidFill>
                    <w14:schemeClr w14:val="tx1"/>
                  </w14:solidFill>
                </w14:textFill>
              </w:rPr>
              <w:t>日期</w:t>
            </w:r>
          </w:p>
        </w:tc>
        <w:tc>
          <w:tcPr>
            <w:tcW w:w="1390" w:type="dxa"/>
            <w:tcBorders>
              <w:top w:val="single" w:color="auto" w:sz="8" w:space="0"/>
              <w:bottom w:val="single" w:color="auto" w:sz="8" w:space="0"/>
            </w:tcBorders>
            <w:shd w:val="clear" w:color="auto" w:fill="5B9BD5" w:themeFill="accent1"/>
            <w:vAlign w:val="center"/>
          </w:tcPr>
          <w:p>
            <w:pPr>
              <w:jc w:val="center"/>
              <w:rPr>
                <w:rFonts w:ascii="仿宋_GB2312" w:hAnsi="Times New Roman" w:eastAsia="仿宋_GB2312" w:cs="Times New Roman"/>
                <w:b/>
                <w:color w:val="000000" w:themeColor="text1"/>
                <w:kern w:val="0"/>
                <w:sz w:val="24"/>
                <w:szCs w:val="20"/>
                <w14:textFill>
                  <w14:solidFill>
                    <w14:schemeClr w14:val="tx1"/>
                  </w14:solidFill>
                </w14:textFill>
              </w:rPr>
            </w:pPr>
            <w:r>
              <w:rPr>
                <w:rFonts w:hint="eastAsia" w:ascii="仿宋_GB2312" w:hAnsi="Times New Roman" w:eastAsia="仿宋_GB2312" w:cs="Times New Roman"/>
                <w:b/>
                <w:color w:val="000000" w:themeColor="text1"/>
                <w:kern w:val="0"/>
                <w:sz w:val="24"/>
                <w:szCs w:val="20"/>
                <w14:textFill>
                  <w14:solidFill>
                    <w14:schemeClr w14:val="tx1"/>
                  </w14:solidFill>
                </w14:textFill>
              </w:rPr>
              <w:t>时间</w:t>
            </w:r>
          </w:p>
        </w:tc>
        <w:tc>
          <w:tcPr>
            <w:tcW w:w="3162" w:type="dxa"/>
            <w:tcBorders>
              <w:top w:val="single" w:color="auto" w:sz="8" w:space="0"/>
              <w:bottom w:val="single" w:color="auto" w:sz="8" w:space="0"/>
            </w:tcBorders>
            <w:shd w:val="clear" w:color="auto" w:fill="5B9BD5" w:themeFill="accent1"/>
            <w:vAlign w:val="center"/>
          </w:tcPr>
          <w:p>
            <w:pPr>
              <w:jc w:val="center"/>
              <w:rPr>
                <w:rFonts w:ascii="仿宋_GB2312" w:hAnsi="Times New Roman" w:eastAsia="仿宋_GB2312" w:cs="Times New Roman"/>
                <w:b/>
                <w:color w:val="000000" w:themeColor="text1"/>
                <w:kern w:val="0"/>
                <w:sz w:val="24"/>
                <w:szCs w:val="20"/>
                <w14:textFill>
                  <w14:solidFill>
                    <w14:schemeClr w14:val="tx1"/>
                  </w14:solidFill>
                </w14:textFill>
              </w:rPr>
            </w:pPr>
            <w:r>
              <w:rPr>
                <w:rFonts w:hint="eastAsia" w:ascii="仿宋_GB2312" w:hAnsi="Times New Roman" w:eastAsia="仿宋_GB2312" w:cs="Times New Roman"/>
                <w:b/>
                <w:color w:val="000000" w:themeColor="text1"/>
                <w:kern w:val="0"/>
                <w:sz w:val="24"/>
                <w:szCs w:val="20"/>
                <w14:textFill>
                  <w14:solidFill>
                    <w14:schemeClr w14:val="tx1"/>
                  </w14:solidFill>
                </w14:textFill>
              </w:rPr>
              <w:t>主题</w:t>
            </w:r>
          </w:p>
        </w:tc>
        <w:tc>
          <w:tcPr>
            <w:tcW w:w="2694" w:type="dxa"/>
            <w:tcBorders>
              <w:top w:val="single" w:color="auto" w:sz="8" w:space="0"/>
              <w:bottom w:val="single" w:color="auto" w:sz="8" w:space="0"/>
            </w:tcBorders>
            <w:shd w:val="clear" w:color="auto" w:fill="5B9BD5" w:themeFill="accent1"/>
            <w:vAlign w:val="center"/>
          </w:tcPr>
          <w:p>
            <w:pPr>
              <w:jc w:val="center"/>
              <w:rPr>
                <w:rFonts w:ascii="仿宋_GB2312" w:hAnsi="Times New Roman" w:eastAsia="仿宋_GB2312" w:cs="Times New Roman"/>
                <w:b/>
                <w:color w:val="000000" w:themeColor="text1"/>
                <w:kern w:val="0"/>
                <w:sz w:val="24"/>
                <w:szCs w:val="20"/>
                <w14:textFill>
                  <w14:solidFill>
                    <w14:schemeClr w14:val="tx1"/>
                  </w14:solidFill>
                </w14:textFill>
              </w:rPr>
            </w:pPr>
            <w:r>
              <w:rPr>
                <w:rFonts w:hint="eastAsia" w:ascii="仿宋_GB2312" w:hAnsi="Times New Roman" w:eastAsia="仿宋_GB2312" w:cs="Times New Roman"/>
                <w:b/>
                <w:color w:val="000000" w:themeColor="text1"/>
                <w:kern w:val="0"/>
                <w:sz w:val="24"/>
                <w:szCs w:val="20"/>
                <w14:textFill>
                  <w14:solidFill>
                    <w14:schemeClr w14:val="tx1"/>
                  </w14:solidFill>
                </w14:textFill>
              </w:rPr>
              <w:t>专家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8" w:type="dxa"/>
            <w:tcBorders>
              <w:top w:val="single" w:color="auto" w:sz="8" w:space="0"/>
              <w:bottom w:val="single" w:color="auto" w:sz="8" w:space="0"/>
            </w:tcBorders>
            <w:vAlign w:val="center"/>
          </w:tcPr>
          <w:p>
            <w:pPr>
              <w:jc w:val="center"/>
              <w:rPr>
                <w:rFonts w:ascii="仿宋_GB2312" w:hAnsi="Times New Roman" w:eastAsia="仿宋_GB2312" w:cs="Times New Roman"/>
                <w:bCs/>
                <w:color w:val="000000" w:themeColor="text1"/>
                <w:kern w:val="0"/>
                <w:sz w:val="24"/>
                <w:szCs w:val="20"/>
                <w14:textFill>
                  <w14:solidFill>
                    <w14:schemeClr w14:val="tx1"/>
                  </w14:solidFill>
                </w14:textFill>
              </w:rPr>
            </w:pPr>
            <w:r>
              <w:rPr>
                <w:rFonts w:hint="eastAsia" w:ascii="仿宋_GB2312" w:hAnsi="Times New Roman" w:eastAsia="仿宋_GB2312" w:cs="Times New Roman"/>
                <w:bCs/>
                <w:color w:val="000000" w:themeColor="text1"/>
                <w:kern w:val="0"/>
                <w:sz w:val="24"/>
                <w:szCs w:val="20"/>
                <w14:textFill>
                  <w14:solidFill>
                    <w14:schemeClr w14:val="tx1"/>
                  </w14:solidFill>
                </w14:textFill>
              </w:rPr>
              <w:t>1月1</w:t>
            </w:r>
            <w:r>
              <w:rPr>
                <w:rFonts w:ascii="仿宋_GB2312" w:hAnsi="Times New Roman" w:eastAsia="仿宋_GB2312" w:cs="Times New Roman"/>
                <w:bCs/>
                <w:color w:val="000000" w:themeColor="text1"/>
                <w:kern w:val="0"/>
                <w:sz w:val="24"/>
                <w:szCs w:val="20"/>
                <w14:textFill>
                  <w14:solidFill>
                    <w14:schemeClr w14:val="tx1"/>
                  </w14:solidFill>
                </w14:textFill>
              </w:rPr>
              <w:t>4</w:t>
            </w:r>
            <w:r>
              <w:rPr>
                <w:rFonts w:hint="eastAsia" w:ascii="仿宋_GB2312" w:hAnsi="Times New Roman" w:eastAsia="仿宋_GB2312" w:cs="Times New Roman"/>
                <w:bCs/>
                <w:color w:val="000000" w:themeColor="text1"/>
                <w:kern w:val="0"/>
                <w:sz w:val="24"/>
                <w:szCs w:val="20"/>
                <w14:textFill>
                  <w14:solidFill>
                    <w14:schemeClr w14:val="tx1"/>
                  </w14:solidFill>
                </w14:textFill>
              </w:rPr>
              <w:t>日</w:t>
            </w:r>
          </w:p>
        </w:tc>
        <w:tc>
          <w:tcPr>
            <w:tcW w:w="1390" w:type="dxa"/>
            <w:tcBorders>
              <w:top w:val="single" w:color="auto" w:sz="8" w:space="0"/>
            </w:tcBorders>
            <w:vAlign w:val="center"/>
          </w:tcPr>
          <w:p>
            <w:pPr>
              <w:jc w:val="center"/>
              <w:rPr>
                <w:rFonts w:ascii="仿宋_GB2312" w:hAnsi="Times New Roman" w:eastAsia="仿宋_GB2312" w:cs="Times New Roman"/>
                <w:bCs/>
                <w:color w:val="000000" w:themeColor="text1"/>
                <w:kern w:val="0"/>
                <w:sz w:val="24"/>
                <w:szCs w:val="20"/>
                <w14:textFill>
                  <w14:solidFill>
                    <w14:schemeClr w14:val="tx1"/>
                  </w14:solidFill>
                </w14:textFill>
              </w:rPr>
            </w:pPr>
            <w:r>
              <w:rPr>
                <w:rFonts w:hint="eastAsia" w:ascii="仿宋_GB2312" w:hAnsi="Times New Roman" w:eastAsia="仿宋_GB2312" w:cs="Times New Roman"/>
                <w:bCs/>
                <w:color w:val="000000" w:themeColor="text1"/>
                <w:kern w:val="0"/>
                <w:sz w:val="24"/>
                <w:szCs w:val="20"/>
                <w14:textFill>
                  <w14:solidFill>
                    <w14:schemeClr w14:val="tx1"/>
                  </w14:solidFill>
                </w14:textFill>
              </w:rPr>
              <w:t>1</w:t>
            </w:r>
            <w:r>
              <w:rPr>
                <w:rFonts w:ascii="仿宋_GB2312" w:hAnsi="Times New Roman" w:eastAsia="仿宋_GB2312" w:cs="Times New Roman"/>
                <w:bCs/>
                <w:color w:val="000000" w:themeColor="text1"/>
                <w:kern w:val="0"/>
                <w:sz w:val="24"/>
                <w:szCs w:val="20"/>
                <w14:textFill>
                  <w14:solidFill>
                    <w14:schemeClr w14:val="tx1"/>
                  </w14:solidFill>
                </w14:textFill>
              </w:rPr>
              <w:t>5</w:t>
            </w:r>
            <w:r>
              <w:rPr>
                <w:rFonts w:hint="eastAsia" w:ascii="仿宋_GB2312" w:hAnsi="Times New Roman" w:eastAsia="仿宋_GB2312" w:cs="Times New Roman"/>
                <w:bCs/>
                <w:color w:val="000000" w:themeColor="text1"/>
                <w:kern w:val="0"/>
                <w:sz w:val="24"/>
                <w:szCs w:val="20"/>
                <w14:textFill>
                  <w14:solidFill>
                    <w14:schemeClr w14:val="tx1"/>
                  </w14:solidFill>
                </w14:textFill>
              </w:rPr>
              <w:t>:</w:t>
            </w:r>
            <w:r>
              <w:rPr>
                <w:rFonts w:ascii="仿宋_GB2312" w:hAnsi="Times New Roman" w:eastAsia="仿宋_GB2312" w:cs="Times New Roman"/>
                <w:bCs/>
                <w:color w:val="000000" w:themeColor="text1"/>
                <w:kern w:val="0"/>
                <w:sz w:val="24"/>
                <w:szCs w:val="20"/>
                <w14:textFill>
                  <w14:solidFill>
                    <w14:schemeClr w14:val="tx1"/>
                  </w14:solidFill>
                </w14:textFill>
              </w:rPr>
              <w:t>0</w:t>
            </w:r>
            <w:r>
              <w:rPr>
                <w:rFonts w:hint="eastAsia" w:ascii="仿宋_GB2312" w:hAnsi="Times New Roman" w:eastAsia="仿宋_GB2312" w:cs="Times New Roman"/>
                <w:bCs/>
                <w:color w:val="000000" w:themeColor="text1"/>
                <w:kern w:val="0"/>
                <w:sz w:val="24"/>
                <w:szCs w:val="20"/>
                <w14:textFill>
                  <w14:solidFill>
                    <w14:schemeClr w14:val="tx1"/>
                  </w14:solidFill>
                </w14:textFill>
              </w:rPr>
              <w:t>0-1</w:t>
            </w:r>
            <w:r>
              <w:rPr>
                <w:rFonts w:ascii="仿宋_GB2312" w:hAnsi="Times New Roman" w:eastAsia="仿宋_GB2312" w:cs="Times New Roman"/>
                <w:bCs/>
                <w:color w:val="000000" w:themeColor="text1"/>
                <w:kern w:val="0"/>
                <w:sz w:val="24"/>
                <w:szCs w:val="20"/>
                <w14:textFill>
                  <w14:solidFill>
                    <w14:schemeClr w14:val="tx1"/>
                  </w14:solidFill>
                </w14:textFill>
              </w:rPr>
              <w:t>8</w:t>
            </w:r>
            <w:r>
              <w:rPr>
                <w:rFonts w:hint="eastAsia" w:ascii="仿宋_GB2312" w:hAnsi="Times New Roman" w:eastAsia="仿宋_GB2312" w:cs="Times New Roman"/>
                <w:bCs/>
                <w:color w:val="000000" w:themeColor="text1"/>
                <w:kern w:val="0"/>
                <w:sz w:val="24"/>
                <w:szCs w:val="20"/>
                <w14:textFill>
                  <w14:solidFill>
                    <w14:schemeClr w14:val="tx1"/>
                  </w14:solidFill>
                </w14:textFill>
              </w:rPr>
              <w:t>:00</w:t>
            </w:r>
          </w:p>
        </w:tc>
        <w:tc>
          <w:tcPr>
            <w:tcW w:w="3162" w:type="dxa"/>
            <w:tcBorders>
              <w:top w:val="single" w:color="auto" w:sz="8" w:space="0"/>
            </w:tcBorders>
            <w:vAlign w:val="center"/>
          </w:tcPr>
          <w:p>
            <w:pPr>
              <w:jc w:val="center"/>
              <w:rPr>
                <w:rFonts w:ascii="仿宋_GB2312" w:hAnsi="Times New Roman" w:eastAsia="仿宋_GB2312" w:cs="Times New Roman"/>
                <w:bCs/>
                <w:color w:val="000000" w:themeColor="text1"/>
                <w:kern w:val="0"/>
                <w:sz w:val="24"/>
                <w:szCs w:val="20"/>
                <w14:textFill>
                  <w14:solidFill>
                    <w14:schemeClr w14:val="tx1"/>
                  </w14:solidFill>
                </w14:textFill>
              </w:rPr>
            </w:pPr>
            <w:r>
              <w:rPr>
                <w:rFonts w:hint="eastAsia" w:ascii="仿宋_GB2312" w:hAnsi="Times New Roman" w:eastAsia="仿宋_GB2312" w:cs="Times New Roman"/>
                <w:bCs/>
                <w:color w:val="000000" w:themeColor="text1"/>
                <w:kern w:val="0"/>
                <w:sz w:val="24"/>
                <w:szCs w:val="20"/>
                <w14:textFill>
                  <w14:solidFill>
                    <w14:schemeClr w14:val="tx1"/>
                  </w14:solidFill>
                </w14:textFill>
              </w:rPr>
              <w:t>报到</w:t>
            </w:r>
          </w:p>
        </w:tc>
        <w:tc>
          <w:tcPr>
            <w:tcW w:w="2694" w:type="dxa"/>
            <w:tcBorders>
              <w:top w:val="single" w:color="auto" w:sz="8" w:space="0"/>
            </w:tcBorders>
            <w:vAlign w:val="center"/>
          </w:tcPr>
          <w:p>
            <w:pPr>
              <w:jc w:val="center"/>
              <w:rPr>
                <w:rFonts w:ascii="仿宋_GB2312" w:hAnsi="Times New Roman" w:eastAsia="仿宋_GB2312" w:cs="Times New Roman"/>
                <w:b/>
                <w:bCs/>
                <w:color w:val="000000" w:themeColor="text1"/>
                <w:kern w:val="0"/>
                <w:sz w:val="24"/>
                <w:szCs w:val="20"/>
                <w14:textFill>
                  <w14:solidFill>
                    <w14:schemeClr w14:val="tx1"/>
                  </w14:solidFill>
                </w14:textFill>
              </w:rPr>
            </w:pPr>
            <w:r>
              <w:rPr>
                <w:rFonts w:hint="eastAsia" w:ascii="仿宋_GB2312" w:hAnsi="Times New Roman" w:eastAsia="仿宋_GB2312" w:cs="Times New Roman"/>
                <w:b/>
                <w:bCs/>
                <w:color w:val="000000" w:themeColor="text1"/>
                <w:kern w:val="0"/>
                <w:sz w:val="24"/>
                <w:szCs w:val="20"/>
                <w14:textFill>
                  <w14:solidFill>
                    <w14:schemeClr w14:val="tx1"/>
                  </w14:solidFill>
                </w14:textFill>
              </w:rPr>
              <w:t>工作组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378" w:type="dxa"/>
            <w:vMerge w:val="restart"/>
            <w:tcBorders>
              <w:top w:val="single" w:color="auto" w:sz="8" w:space="0"/>
            </w:tcBorders>
            <w:vAlign w:val="center"/>
          </w:tcPr>
          <w:p>
            <w:pPr>
              <w:jc w:val="center"/>
              <w:rPr>
                <w:rFonts w:ascii="仿宋_GB2312" w:hAnsi="Times New Roman" w:eastAsia="仿宋_GB2312" w:cs="Times New Roman"/>
                <w:bCs/>
                <w:color w:val="000000" w:themeColor="text1"/>
                <w:kern w:val="0"/>
                <w:sz w:val="24"/>
                <w:szCs w:val="20"/>
                <w14:textFill>
                  <w14:solidFill>
                    <w14:schemeClr w14:val="tx1"/>
                  </w14:solidFill>
                </w14:textFill>
              </w:rPr>
            </w:pPr>
            <w:r>
              <w:rPr>
                <w:rFonts w:hint="eastAsia" w:ascii="仿宋_GB2312" w:hAnsi="Times New Roman" w:eastAsia="仿宋_GB2312" w:cs="Times New Roman"/>
                <w:bCs/>
                <w:color w:val="000000" w:themeColor="text1"/>
                <w:kern w:val="0"/>
                <w:sz w:val="24"/>
                <w:szCs w:val="20"/>
                <w14:textFill>
                  <w14:solidFill>
                    <w14:schemeClr w14:val="tx1"/>
                  </w14:solidFill>
                </w14:textFill>
              </w:rPr>
              <w:t>1月15日</w:t>
            </w:r>
          </w:p>
        </w:tc>
        <w:tc>
          <w:tcPr>
            <w:tcW w:w="1390" w:type="dxa"/>
            <w:tcBorders>
              <w:top w:val="single" w:color="auto" w:sz="8" w:space="0"/>
            </w:tcBorders>
            <w:vAlign w:val="center"/>
          </w:tcPr>
          <w:p>
            <w:pPr>
              <w:jc w:val="center"/>
              <w:rPr>
                <w:rFonts w:ascii="仿宋_GB2312" w:hAnsi="Times New Roman" w:eastAsia="仿宋_GB2312" w:cs="Times New Roman"/>
                <w:bCs/>
                <w:color w:val="000000" w:themeColor="text1"/>
                <w:kern w:val="0"/>
                <w:sz w:val="24"/>
                <w:szCs w:val="20"/>
                <w14:textFill>
                  <w14:solidFill>
                    <w14:schemeClr w14:val="tx1"/>
                  </w14:solidFill>
                </w14:textFill>
              </w:rPr>
            </w:pPr>
            <w:r>
              <w:rPr>
                <w:rFonts w:hint="eastAsia" w:ascii="仿宋_GB2312" w:hAnsi="Times New Roman" w:eastAsia="仿宋_GB2312" w:cs="Times New Roman"/>
                <w:bCs/>
                <w:color w:val="000000" w:themeColor="text1"/>
                <w:kern w:val="0"/>
                <w:sz w:val="24"/>
                <w:szCs w:val="20"/>
                <w14:textFill>
                  <w14:solidFill>
                    <w14:schemeClr w14:val="tx1"/>
                  </w14:solidFill>
                </w14:textFill>
              </w:rPr>
              <w:t>08:30-11:00</w:t>
            </w:r>
          </w:p>
        </w:tc>
        <w:tc>
          <w:tcPr>
            <w:tcW w:w="3162" w:type="dxa"/>
            <w:tcBorders>
              <w:top w:val="single" w:color="auto" w:sz="8" w:space="0"/>
            </w:tcBorders>
            <w:vAlign w:val="center"/>
          </w:tcPr>
          <w:p>
            <w:pPr>
              <w:jc w:val="center"/>
              <w:rPr>
                <w:rFonts w:ascii="仿宋_GB2312" w:hAnsi="Times New Roman" w:eastAsia="仿宋_GB2312" w:cs="Times New Roman"/>
                <w:bCs/>
                <w:color w:val="000000" w:themeColor="text1"/>
                <w:kern w:val="0"/>
                <w:sz w:val="24"/>
                <w:szCs w:val="20"/>
                <w14:textFill>
                  <w14:solidFill>
                    <w14:schemeClr w14:val="tx1"/>
                  </w14:solidFill>
                </w14:textFill>
              </w:rPr>
            </w:pPr>
            <w:r>
              <w:rPr>
                <w:rFonts w:hint="eastAsia" w:ascii="仿宋_GB2312" w:hAnsi="Times New Roman" w:eastAsia="仿宋_GB2312" w:cs="Times New Roman"/>
                <w:bCs/>
                <w:color w:val="000000" w:themeColor="text1"/>
                <w:kern w:val="0"/>
                <w:sz w:val="24"/>
                <w:szCs w:val="20"/>
                <w14:textFill>
                  <w14:solidFill>
                    <w14:schemeClr w14:val="tx1"/>
                  </w14:solidFill>
                </w14:textFill>
              </w:rPr>
              <w:t>新时代本科层次职业教育产出导向的人才培养质量评价</w:t>
            </w:r>
          </w:p>
        </w:tc>
        <w:tc>
          <w:tcPr>
            <w:tcW w:w="2694" w:type="dxa"/>
            <w:vMerge w:val="restart"/>
            <w:tcBorders>
              <w:top w:val="single" w:color="auto" w:sz="8" w:space="0"/>
            </w:tcBorders>
            <w:vAlign w:val="center"/>
          </w:tcPr>
          <w:p>
            <w:pPr>
              <w:jc w:val="center"/>
              <w:rPr>
                <w:rFonts w:ascii="仿宋_GB2312" w:hAnsi="Times New Roman" w:eastAsia="仿宋_GB2312" w:cs="Times New Roman"/>
                <w:b/>
                <w:bCs/>
                <w:color w:val="000000" w:themeColor="text1"/>
                <w:kern w:val="0"/>
                <w:sz w:val="28"/>
                <w:szCs w:val="20"/>
                <w14:textFill>
                  <w14:solidFill>
                    <w14:schemeClr w14:val="tx1"/>
                  </w14:solidFill>
                </w14:textFill>
              </w:rPr>
            </w:pPr>
            <w:r>
              <w:rPr>
                <w:rFonts w:hint="eastAsia" w:ascii="仿宋_GB2312" w:hAnsi="Times New Roman" w:eastAsia="仿宋_GB2312" w:cs="Times New Roman"/>
                <w:b/>
                <w:bCs/>
                <w:color w:val="000000" w:themeColor="text1"/>
                <w:kern w:val="0"/>
                <w:sz w:val="28"/>
                <w:szCs w:val="20"/>
                <w14:textFill>
                  <w14:solidFill>
                    <w14:schemeClr w14:val="tx1"/>
                  </w14:solidFill>
                </w14:textFill>
              </w:rPr>
              <w:t>崔奎勇</w:t>
            </w:r>
          </w:p>
          <w:p>
            <w:pPr>
              <w:jc w:val="center"/>
              <w:rPr>
                <w:rFonts w:ascii="仿宋_GB2312" w:hAnsi="Times New Roman" w:eastAsia="仿宋_GB2312" w:cs="Times New Roman"/>
                <w:bCs/>
                <w:color w:val="000000" w:themeColor="text1"/>
                <w:kern w:val="0"/>
                <w:sz w:val="24"/>
                <w:szCs w:val="20"/>
                <w14:textFill>
                  <w14:solidFill>
                    <w14:schemeClr w14:val="tx1"/>
                  </w14:solidFill>
                </w14:textFill>
              </w:rPr>
            </w:pPr>
            <w:r>
              <w:rPr>
                <w:rFonts w:hint="eastAsia" w:ascii="仿宋_GB2312" w:hAnsi="Times New Roman" w:eastAsia="仿宋_GB2312" w:cs="Times New Roman"/>
                <w:bCs/>
                <w:color w:val="000000" w:themeColor="text1"/>
                <w:kern w:val="0"/>
                <w:sz w:val="24"/>
                <w:szCs w:val="20"/>
                <w14:textFill>
                  <w14:solidFill>
                    <w14:schemeClr w14:val="tx1"/>
                  </w14:solidFill>
                </w14:textFill>
              </w:rPr>
              <w:t>山东英才学院</w:t>
            </w:r>
          </w:p>
          <w:p>
            <w:pPr>
              <w:jc w:val="center"/>
              <w:rPr>
                <w:rFonts w:ascii="仿宋_GB2312" w:hAnsi="Times New Roman" w:eastAsia="仿宋_GB2312" w:cs="Times New Roman"/>
                <w:b/>
                <w:bCs/>
                <w:color w:val="000000" w:themeColor="text1"/>
                <w:kern w:val="0"/>
                <w:sz w:val="28"/>
                <w:szCs w:val="20"/>
                <w14:textFill>
                  <w14:solidFill>
                    <w14:schemeClr w14:val="tx1"/>
                  </w14:solidFill>
                </w14:textFill>
              </w:rPr>
            </w:pPr>
            <w:r>
              <w:rPr>
                <w:rFonts w:hint="eastAsia" w:ascii="仿宋_GB2312" w:hAnsi="Times New Roman" w:eastAsia="仿宋_GB2312" w:cs="Times New Roman"/>
                <w:bCs/>
                <w:color w:val="000000" w:themeColor="text1"/>
                <w:kern w:val="0"/>
                <w:sz w:val="24"/>
                <w:szCs w:val="20"/>
                <w14:textFill>
                  <w14:solidFill>
                    <w14:schemeClr w14:val="tx1"/>
                  </w14:solidFill>
                </w14:textFill>
              </w:rPr>
              <w:t>副校长，教授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8" w:type="dxa"/>
            <w:vMerge w:val="continue"/>
            <w:vAlign w:val="center"/>
          </w:tcPr>
          <w:p>
            <w:pPr>
              <w:jc w:val="center"/>
              <w:rPr>
                <w:rFonts w:ascii="仿宋_GB2312" w:hAnsi="Times New Roman" w:eastAsia="仿宋_GB2312" w:cs="Times New Roman"/>
                <w:bCs/>
                <w:color w:val="000000" w:themeColor="text1"/>
                <w:kern w:val="0"/>
                <w:sz w:val="24"/>
                <w:szCs w:val="20"/>
                <w14:textFill>
                  <w14:solidFill>
                    <w14:schemeClr w14:val="tx1"/>
                  </w14:solidFill>
                </w14:textFill>
              </w:rPr>
            </w:pPr>
          </w:p>
        </w:tc>
        <w:tc>
          <w:tcPr>
            <w:tcW w:w="1390" w:type="dxa"/>
            <w:tcBorders>
              <w:bottom w:val="single" w:color="auto" w:sz="4" w:space="0"/>
            </w:tcBorders>
            <w:vAlign w:val="center"/>
          </w:tcPr>
          <w:p>
            <w:pPr>
              <w:jc w:val="center"/>
              <w:rPr>
                <w:rFonts w:ascii="仿宋_GB2312" w:hAnsi="Times New Roman" w:eastAsia="仿宋_GB2312" w:cs="Times New Roman"/>
                <w:bCs/>
                <w:color w:val="000000" w:themeColor="text1"/>
                <w:kern w:val="0"/>
                <w:sz w:val="24"/>
                <w:szCs w:val="20"/>
                <w14:textFill>
                  <w14:solidFill>
                    <w14:schemeClr w14:val="tx1"/>
                  </w14:solidFill>
                </w14:textFill>
              </w:rPr>
            </w:pPr>
            <w:r>
              <w:rPr>
                <w:rFonts w:hint="eastAsia" w:ascii="仿宋_GB2312" w:hAnsi="Times New Roman" w:eastAsia="仿宋_GB2312" w:cs="Times New Roman"/>
                <w:bCs/>
                <w:color w:val="000000" w:themeColor="text1"/>
                <w:kern w:val="0"/>
                <w:sz w:val="24"/>
                <w:szCs w:val="20"/>
                <w14:textFill>
                  <w14:solidFill>
                    <w14:schemeClr w14:val="tx1"/>
                  </w14:solidFill>
                </w14:textFill>
              </w:rPr>
              <w:t>11:00-11:30</w:t>
            </w:r>
          </w:p>
        </w:tc>
        <w:tc>
          <w:tcPr>
            <w:tcW w:w="3162" w:type="dxa"/>
            <w:tcBorders>
              <w:bottom w:val="single" w:color="auto" w:sz="4" w:space="0"/>
            </w:tcBorders>
            <w:vAlign w:val="center"/>
          </w:tcPr>
          <w:p>
            <w:pPr>
              <w:jc w:val="center"/>
              <w:rPr>
                <w:rFonts w:ascii="仿宋_GB2312" w:hAnsi="Times New Roman" w:eastAsia="仿宋_GB2312" w:cs="Times New Roman"/>
                <w:bCs/>
                <w:color w:val="000000" w:themeColor="text1"/>
                <w:kern w:val="0"/>
                <w:sz w:val="24"/>
                <w:szCs w:val="20"/>
                <w14:textFill>
                  <w14:solidFill>
                    <w14:schemeClr w14:val="tx1"/>
                  </w14:solidFill>
                </w14:textFill>
              </w:rPr>
            </w:pPr>
            <w:r>
              <w:rPr>
                <w:rFonts w:hint="eastAsia" w:ascii="仿宋_GB2312" w:hAnsi="Times New Roman" w:eastAsia="仿宋_GB2312" w:cs="Times New Roman"/>
                <w:bCs/>
                <w:color w:val="000000" w:themeColor="text1"/>
                <w:kern w:val="0"/>
                <w:sz w:val="24"/>
                <w:szCs w:val="20"/>
                <w14:textFill>
                  <w14:solidFill>
                    <w14:schemeClr w14:val="tx1"/>
                  </w14:solidFill>
                </w14:textFill>
              </w:rPr>
              <w:t>互动答疑</w:t>
            </w:r>
          </w:p>
        </w:tc>
        <w:tc>
          <w:tcPr>
            <w:tcW w:w="2694" w:type="dxa"/>
            <w:vMerge w:val="continue"/>
            <w:tcBorders>
              <w:bottom w:val="single" w:color="auto" w:sz="4" w:space="0"/>
            </w:tcBorders>
            <w:vAlign w:val="center"/>
          </w:tcPr>
          <w:p>
            <w:pPr>
              <w:jc w:val="center"/>
              <w:rPr>
                <w:rFonts w:ascii="仿宋_GB2312" w:hAnsi="Times New Roman" w:eastAsia="仿宋_GB2312" w:cs="Times New Roman"/>
                <w:bCs/>
                <w:color w:val="000000" w:themeColor="text1"/>
                <w:kern w:val="0"/>
                <w:sz w:val="24"/>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8" w:type="dxa"/>
            <w:vMerge w:val="continue"/>
            <w:vAlign w:val="center"/>
          </w:tcPr>
          <w:p>
            <w:pPr>
              <w:jc w:val="center"/>
              <w:rPr>
                <w:rFonts w:ascii="仿宋_GB2312" w:hAnsi="Times New Roman" w:eastAsia="仿宋_GB2312" w:cs="Times New Roman"/>
                <w:bCs/>
                <w:color w:val="000000" w:themeColor="text1"/>
                <w:kern w:val="0"/>
                <w:sz w:val="24"/>
                <w:szCs w:val="20"/>
                <w14:textFill>
                  <w14:solidFill>
                    <w14:schemeClr w14:val="tx1"/>
                  </w14:solidFill>
                </w14:textFill>
              </w:rPr>
            </w:pPr>
          </w:p>
        </w:tc>
        <w:tc>
          <w:tcPr>
            <w:tcW w:w="1390" w:type="dxa"/>
            <w:tcBorders>
              <w:top w:val="single" w:color="auto" w:sz="4" w:space="0"/>
              <w:bottom w:val="single" w:color="auto" w:sz="4" w:space="0"/>
            </w:tcBorders>
            <w:vAlign w:val="center"/>
          </w:tcPr>
          <w:p>
            <w:pPr>
              <w:jc w:val="center"/>
              <w:rPr>
                <w:rFonts w:ascii="仿宋_GB2312" w:hAnsi="Times New Roman" w:eastAsia="仿宋_GB2312" w:cs="Times New Roman"/>
                <w:bCs/>
                <w:color w:val="000000" w:themeColor="text1"/>
                <w:kern w:val="0"/>
                <w:sz w:val="24"/>
                <w:szCs w:val="20"/>
                <w14:textFill>
                  <w14:solidFill>
                    <w14:schemeClr w14:val="tx1"/>
                  </w14:solidFill>
                </w14:textFill>
              </w:rPr>
            </w:pPr>
            <w:r>
              <w:rPr>
                <w:rFonts w:hint="eastAsia" w:ascii="仿宋_GB2312" w:hAnsi="Times New Roman" w:eastAsia="仿宋_GB2312" w:cs="Times New Roman"/>
                <w:bCs/>
                <w:color w:val="000000" w:themeColor="text1"/>
                <w:kern w:val="0"/>
                <w:sz w:val="24"/>
                <w:szCs w:val="20"/>
                <w14:textFill>
                  <w14:solidFill>
                    <w14:schemeClr w14:val="tx1"/>
                  </w14:solidFill>
                </w14:textFill>
              </w:rPr>
              <w:t>1</w:t>
            </w:r>
            <w:r>
              <w:rPr>
                <w:rFonts w:ascii="仿宋_GB2312" w:hAnsi="Times New Roman" w:eastAsia="仿宋_GB2312" w:cs="Times New Roman"/>
                <w:bCs/>
                <w:color w:val="000000" w:themeColor="text1"/>
                <w:kern w:val="0"/>
                <w:sz w:val="24"/>
                <w:szCs w:val="20"/>
                <w14:textFill>
                  <w14:solidFill>
                    <w14:schemeClr w14:val="tx1"/>
                  </w14:solidFill>
                </w14:textFill>
              </w:rPr>
              <w:t>3</w:t>
            </w:r>
            <w:r>
              <w:rPr>
                <w:rFonts w:hint="eastAsia" w:ascii="仿宋_GB2312" w:hAnsi="Times New Roman" w:eastAsia="仿宋_GB2312" w:cs="Times New Roman"/>
                <w:bCs/>
                <w:color w:val="000000" w:themeColor="text1"/>
                <w:kern w:val="0"/>
                <w:sz w:val="24"/>
                <w:szCs w:val="20"/>
                <w14:textFill>
                  <w14:solidFill>
                    <w14:schemeClr w14:val="tx1"/>
                  </w14:solidFill>
                </w14:textFill>
              </w:rPr>
              <w:t>:30-1</w:t>
            </w:r>
            <w:r>
              <w:rPr>
                <w:rFonts w:ascii="仿宋_GB2312" w:hAnsi="Times New Roman" w:eastAsia="仿宋_GB2312" w:cs="Times New Roman"/>
                <w:bCs/>
                <w:color w:val="000000" w:themeColor="text1"/>
                <w:kern w:val="0"/>
                <w:sz w:val="24"/>
                <w:szCs w:val="20"/>
                <w14:textFill>
                  <w14:solidFill>
                    <w14:schemeClr w14:val="tx1"/>
                  </w14:solidFill>
                </w14:textFill>
              </w:rPr>
              <w:t>6</w:t>
            </w:r>
            <w:r>
              <w:rPr>
                <w:rFonts w:hint="eastAsia" w:ascii="仿宋_GB2312" w:hAnsi="Times New Roman" w:eastAsia="仿宋_GB2312" w:cs="Times New Roman"/>
                <w:bCs/>
                <w:color w:val="000000" w:themeColor="text1"/>
                <w:kern w:val="0"/>
                <w:sz w:val="24"/>
                <w:szCs w:val="20"/>
                <w14:textFill>
                  <w14:solidFill>
                    <w14:schemeClr w14:val="tx1"/>
                  </w14:solidFill>
                </w14:textFill>
              </w:rPr>
              <w:t>:00</w:t>
            </w:r>
          </w:p>
        </w:tc>
        <w:tc>
          <w:tcPr>
            <w:tcW w:w="3162" w:type="dxa"/>
            <w:tcBorders>
              <w:top w:val="single" w:color="auto" w:sz="4" w:space="0"/>
              <w:bottom w:val="single" w:color="auto" w:sz="4" w:space="0"/>
            </w:tcBorders>
            <w:vAlign w:val="center"/>
          </w:tcPr>
          <w:p>
            <w:pPr>
              <w:jc w:val="center"/>
              <w:rPr>
                <w:rFonts w:ascii="仿宋_GB2312" w:hAnsi="Times New Roman" w:eastAsia="仿宋_GB2312" w:cs="Times New Roman"/>
                <w:bCs/>
                <w:color w:val="000000" w:themeColor="text1"/>
                <w:kern w:val="0"/>
                <w:sz w:val="24"/>
                <w:szCs w:val="20"/>
                <w14:textFill>
                  <w14:solidFill>
                    <w14:schemeClr w14:val="tx1"/>
                  </w14:solidFill>
                </w14:textFill>
              </w:rPr>
            </w:pPr>
            <w:r>
              <w:rPr>
                <w:rFonts w:hint="eastAsia" w:ascii="仿宋_GB2312" w:hAnsi="Times New Roman" w:eastAsia="仿宋_GB2312" w:cs="Times New Roman"/>
                <w:bCs/>
                <w:color w:val="000000" w:themeColor="text1"/>
                <w:kern w:val="0"/>
                <w:sz w:val="24"/>
                <w:szCs w:val="20"/>
                <w14:textFill>
                  <w14:solidFill>
                    <w14:schemeClr w14:val="tx1"/>
                  </w14:solidFill>
                </w14:textFill>
              </w:rPr>
              <w:t>本科层次职业学校和专业申报的探索与实践</w:t>
            </w:r>
          </w:p>
        </w:tc>
        <w:tc>
          <w:tcPr>
            <w:tcW w:w="2694" w:type="dxa"/>
            <w:tcBorders>
              <w:top w:val="single" w:color="auto" w:sz="4" w:space="0"/>
              <w:bottom w:val="single" w:color="auto" w:sz="4" w:space="0"/>
            </w:tcBorders>
            <w:vAlign w:val="center"/>
          </w:tcPr>
          <w:p>
            <w:pPr>
              <w:jc w:val="center"/>
              <w:rPr>
                <w:rFonts w:ascii="仿宋_GB2312" w:hAnsi="Times New Roman" w:eastAsia="仿宋_GB2312" w:cs="Times New Roman"/>
                <w:b/>
                <w:bCs/>
                <w:color w:val="000000" w:themeColor="text1"/>
                <w:kern w:val="0"/>
                <w:sz w:val="28"/>
                <w:szCs w:val="20"/>
                <w14:textFill>
                  <w14:solidFill>
                    <w14:schemeClr w14:val="tx1"/>
                  </w14:solidFill>
                </w14:textFill>
              </w:rPr>
            </w:pPr>
            <w:r>
              <w:rPr>
                <w:rFonts w:hint="eastAsia" w:ascii="仿宋_GB2312" w:hAnsi="Times New Roman" w:eastAsia="仿宋_GB2312" w:cs="Times New Roman"/>
                <w:b/>
                <w:bCs/>
                <w:color w:val="000000" w:themeColor="text1"/>
                <w:kern w:val="0"/>
                <w:sz w:val="28"/>
                <w:szCs w:val="20"/>
                <w14:textFill>
                  <w14:solidFill>
                    <w14:schemeClr w14:val="tx1"/>
                  </w14:solidFill>
                </w14:textFill>
              </w:rPr>
              <w:t>李  强</w:t>
            </w:r>
          </w:p>
          <w:p>
            <w:pPr>
              <w:jc w:val="center"/>
              <w:rPr>
                <w:rFonts w:ascii="仿宋_GB2312" w:hAnsi="Times New Roman" w:eastAsia="仿宋_GB2312" w:cs="Times New Roman"/>
                <w:bCs/>
                <w:color w:val="000000" w:themeColor="text1"/>
                <w:kern w:val="0"/>
                <w:sz w:val="24"/>
                <w:szCs w:val="20"/>
                <w14:textFill>
                  <w14:solidFill>
                    <w14:schemeClr w14:val="tx1"/>
                  </w14:solidFill>
                </w14:textFill>
              </w:rPr>
            </w:pPr>
            <w:r>
              <w:rPr>
                <w:rFonts w:hint="eastAsia" w:ascii="仿宋_GB2312" w:hAnsi="Times New Roman" w:eastAsia="仿宋_GB2312" w:cs="Times New Roman"/>
                <w:bCs/>
                <w:color w:val="000000" w:themeColor="text1"/>
                <w:kern w:val="0"/>
                <w:sz w:val="24"/>
                <w:szCs w:val="20"/>
                <w14:textFill>
                  <w14:solidFill>
                    <w14:schemeClr w14:val="tx1"/>
                  </w14:solidFill>
                </w14:textFill>
              </w:rPr>
              <w:t>湖南工业职业技术学院副校长，教授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8" w:type="dxa"/>
            <w:vMerge w:val="continue"/>
            <w:tcBorders>
              <w:bottom w:val="single" w:color="auto" w:sz="8" w:space="0"/>
            </w:tcBorders>
            <w:vAlign w:val="center"/>
          </w:tcPr>
          <w:p>
            <w:pPr>
              <w:jc w:val="center"/>
              <w:rPr>
                <w:rFonts w:ascii="仿宋_GB2312" w:hAnsi="Times New Roman" w:eastAsia="仿宋_GB2312" w:cs="Times New Roman"/>
                <w:bCs/>
                <w:color w:val="000000" w:themeColor="text1"/>
                <w:kern w:val="0"/>
                <w:sz w:val="24"/>
                <w:szCs w:val="20"/>
                <w14:textFill>
                  <w14:solidFill>
                    <w14:schemeClr w14:val="tx1"/>
                  </w14:solidFill>
                </w14:textFill>
              </w:rPr>
            </w:pPr>
          </w:p>
        </w:tc>
        <w:tc>
          <w:tcPr>
            <w:tcW w:w="1390" w:type="dxa"/>
            <w:tcBorders>
              <w:top w:val="single" w:color="auto" w:sz="4" w:space="0"/>
              <w:bottom w:val="single" w:color="auto" w:sz="8" w:space="0"/>
            </w:tcBorders>
            <w:vAlign w:val="center"/>
          </w:tcPr>
          <w:p>
            <w:pPr>
              <w:jc w:val="center"/>
              <w:rPr>
                <w:rFonts w:ascii="仿宋_GB2312" w:hAnsi="Times New Roman" w:eastAsia="仿宋_GB2312" w:cs="Times New Roman"/>
                <w:bCs/>
                <w:color w:val="000000" w:themeColor="text1"/>
                <w:kern w:val="0"/>
                <w:sz w:val="24"/>
                <w:szCs w:val="20"/>
                <w14:textFill>
                  <w14:solidFill>
                    <w14:schemeClr w14:val="tx1"/>
                  </w14:solidFill>
                </w14:textFill>
              </w:rPr>
            </w:pPr>
            <w:r>
              <w:rPr>
                <w:rFonts w:hint="eastAsia" w:ascii="仿宋_GB2312" w:hAnsi="Times New Roman" w:eastAsia="仿宋_GB2312" w:cs="Times New Roman"/>
                <w:bCs/>
                <w:color w:val="000000" w:themeColor="text1"/>
                <w:kern w:val="0"/>
                <w:sz w:val="24"/>
                <w:szCs w:val="20"/>
                <w14:textFill>
                  <w14:solidFill>
                    <w14:schemeClr w14:val="tx1"/>
                  </w14:solidFill>
                </w14:textFill>
              </w:rPr>
              <w:t>1</w:t>
            </w:r>
            <w:r>
              <w:rPr>
                <w:rFonts w:ascii="仿宋_GB2312" w:hAnsi="Times New Roman" w:eastAsia="仿宋_GB2312" w:cs="Times New Roman"/>
                <w:bCs/>
                <w:color w:val="000000" w:themeColor="text1"/>
                <w:kern w:val="0"/>
                <w:sz w:val="24"/>
                <w:szCs w:val="20"/>
                <w14:textFill>
                  <w14:solidFill>
                    <w14:schemeClr w14:val="tx1"/>
                  </w14:solidFill>
                </w14:textFill>
              </w:rPr>
              <w:t>6</w:t>
            </w:r>
            <w:r>
              <w:rPr>
                <w:rFonts w:hint="eastAsia" w:ascii="仿宋_GB2312" w:hAnsi="Times New Roman" w:eastAsia="仿宋_GB2312" w:cs="Times New Roman"/>
                <w:bCs/>
                <w:color w:val="000000" w:themeColor="text1"/>
                <w:kern w:val="0"/>
                <w:sz w:val="24"/>
                <w:szCs w:val="20"/>
                <w14:textFill>
                  <w14:solidFill>
                    <w14:schemeClr w14:val="tx1"/>
                  </w14:solidFill>
                </w14:textFill>
              </w:rPr>
              <w:t>:</w:t>
            </w:r>
            <w:r>
              <w:rPr>
                <w:rFonts w:ascii="仿宋_GB2312" w:hAnsi="Times New Roman" w:eastAsia="仿宋_GB2312" w:cs="Times New Roman"/>
                <w:bCs/>
                <w:color w:val="000000" w:themeColor="text1"/>
                <w:kern w:val="0"/>
                <w:sz w:val="24"/>
                <w:szCs w:val="20"/>
                <w14:textFill>
                  <w14:solidFill>
                    <w14:schemeClr w14:val="tx1"/>
                  </w14:solidFill>
                </w14:textFill>
              </w:rPr>
              <w:t>1</w:t>
            </w:r>
            <w:r>
              <w:rPr>
                <w:rFonts w:hint="eastAsia" w:ascii="仿宋_GB2312" w:hAnsi="Times New Roman" w:eastAsia="仿宋_GB2312" w:cs="Times New Roman"/>
                <w:bCs/>
                <w:color w:val="000000" w:themeColor="text1"/>
                <w:kern w:val="0"/>
                <w:sz w:val="24"/>
                <w:szCs w:val="20"/>
                <w14:textFill>
                  <w14:solidFill>
                    <w14:schemeClr w14:val="tx1"/>
                  </w14:solidFill>
                </w14:textFill>
              </w:rPr>
              <w:t>0-1</w:t>
            </w:r>
            <w:r>
              <w:rPr>
                <w:rFonts w:ascii="仿宋_GB2312" w:hAnsi="Times New Roman" w:eastAsia="仿宋_GB2312" w:cs="Times New Roman"/>
                <w:bCs/>
                <w:color w:val="000000" w:themeColor="text1"/>
                <w:kern w:val="0"/>
                <w:sz w:val="24"/>
                <w:szCs w:val="20"/>
                <w14:textFill>
                  <w14:solidFill>
                    <w14:schemeClr w14:val="tx1"/>
                  </w14:solidFill>
                </w14:textFill>
              </w:rPr>
              <w:t>8</w:t>
            </w:r>
            <w:r>
              <w:rPr>
                <w:rFonts w:hint="eastAsia" w:ascii="仿宋_GB2312" w:hAnsi="Times New Roman" w:eastAsia="仿宋_GB2312" w:cs="Times New Roman"/>
                <w:bCs/>
                <w:color w:val="000000" w:themeColor="text1"/>
                <w:kern w:val="0"/>
                <w:sz w:val="24"/>
                <w:szCs w:val="20"/>
                <w14:textFill>
                  <w14:solidFill>
                    <w14:schemeClr w14:val="tx1"/>
                  </w14:solidFill>
                </w14:textFill>
              </w:rPr>
              <w:t>:</w:t>
            </w:r>
            <w:r>
              <w:rPr>
                <w:rFonts w:ascii="仿宋_GB2312" w:hAnsi="Times New Roman" w:eastAsia="仿宋_GB2312" w:cs="Times New Roman"/>
                <w:bCs/>
                <w:color w:val="000000" w:themeColor="text1"/>
                <w:kern w:val="0"/>
                <w:sz w:val="24"/>
                <w:szCs w:val="20"/>
                <w14:textFill>
                  <w14:solidFill>
                    <w14:schemeClr w14:val="tx1"/>
                  </w14:solidFill>
                </w14:textFill>
              </w:rPr>
              <w:t>1</w:t>
            </w:r>
            <w:r>
              <w:rPr>
                <w:rFonts w:hint="eastAsia" w:ascii="仿宋_GB2312" w:hAnsi="Times New Roman" w:eastAsia="仿宋_GB2312" w:cs="Times New Roman"/>
                <w:bCs/>
                <w:color w:val="000000" w:themeColor="text1"/>
                <w:kern w:val="0"/>
                <w:sz w:val="24"/>
                <w:szCs w:val="20"/>
                <w14:textFill>
                  <w14:solidFill>
                    <w14:schemeClr w14:val="tx1"/>
                  </w14:solidFill>
                </w14:textFill>
              </w:rPr>
              <w:t>0</w:t>
            </w:r>
          </w:p>
        </w:tc>
        <w:tc>
          <w:tcPr>
            <w:tcW w:w="3162" w:type="dxa"/>
            <w:tcBorders>
              <w:top w:val="single" w:color="auto" w:sz="4" w:space="0"/>
              <w:bottom w:val="single" w:color="auto" w:sz="8" w:space="0"/>
            </w:tcBorders>
            <w:vAlign w:val="center"/>
          </w:tcPr>
          <w:p>
            <w:pPr>
              <w:jc w:val="center"/>
              <w:rPr>
                <w:rFonts w:ascii="仿宋_GB2312" w:hAnsi="Times New Roman" w:eastAsia="仿宋_GB2312" w:cs="Times New Roman"/>
                <w:bCs/>
                <w:color w:val="000000" w:themeColor="text1"/>
                <w:kern w:val="0"/>
                <w:sz w:val="24"/>
                <w:szCs w:val="20"/>
                <w14:textFill>
                  <w14:solidFill>
                    <w14:schemeClr w14:val="tx1"/>
                  </w14:solidFill>
                </w14:textFill>
              </w:rPr>
            </w:pPr>
            <w:r>
              <w:rPr>
                <w:rFonts w:hint="eastAsia" w:ascii="仿宋_GB2312" w:hAnsi="Times New Roman" w:eastAsia="仿宋_GB2312" w:cs="Times New Roman"/>
                <w:bCs/>
                <w:color w:val="000000" w:themeColor="text1"/>
                <w:kern w:val="0"/>
                <w:sz w:val="24"/>
                <w:szCs w:val="20"/>
                <w14:textFill>
                  <w14:solidFill>
                    <w14:schemeClr w14:val="tx1"/>
                  </w14:solidFill>
                </w14:textFill>
              </w:rPr>
              <w:t>第二批数字赋能示范专业论证会</w:t>
            </w:r>
          </w:p>
        </w:tc>
        <w:tc>
          <w:tcPr>
            <w:tcW w:w="2694" w:type="dxa"/>
            <w:tcBorders>
              <w:top w:val="single" w:color="auto" w:sz="4" w:space="0"/>
              <w:bottom w:val="single" w:color="auto" w:sz="8" w:space="0"/>
            </w:tcBorders>
            <w:vAlign w:val="center"/>
          </w:tcPr>
          <w:p>
            <w:pPr>
              <w:jc w:val="center"/>
              <w:rPr>
                <w:rFonts w:ascii="仿宋_GB2312" w:hAnsi="Times New Roman" w:eastAsia="仿宋_GB2312" w:cs="Times New Roman"/>
                <w:b/>
                <w:bCs/>
                <w:color w:val="000000" w:themeColor="text1"/>
                <w:kern w:val="0"/>
                <w:sz w:val="24"/>
                <w:szCs w:val="20"/>
                <w14:textFill>
                  <w14:solidFill>
                    <w14:schemeClr w14:val="tx1"/>
                  </w14:solidFill>
                </w14:textFill>
              </w:rPr>
            </w:pPr>
            <w:r>
              <w:rPr>
                <w:rFonts w:hint="eastAsia" w:ascii="仿宋_GB2312" w:hAnsi="Times New Roman" w:eastAsia="仿宋_GB2312" w:cs="Times New Roman"/>
                <w:b/>
                <w:bCs/>
                <w:color w:val="000000" w:themeColor="text1"/>
                <w:kern w:val="0"/>
                <w:sz w:val="24"/>
                <w:szCs w:val="20"/>
                <w14:textFill>
                  <w14:solidFill>
                    <w14:schemeClr w14:val="tx1"/>
                  </w14:solidFill>
                </w14:textFill>
              </w:rPr>
              <w:t>评审专家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8" w:type="dxa"/>
            <w:vMerge w:val="restart"/>
            <w:tcBorders>
              <w:top w:val="single" w:color="auto" w:sz="8" w:space="0"/>
            </w:tcBorders>
            <w:vAlign w:val="center"/>
          </w:tcPr>
          <w:p>
            <w:pPr>
              <w:jc w:val="center"/>
              <w:rPr>
                <w:rFonts w:ascii="仿宋_GB2312" w:hAnsi="Times New Roman" w:eastAsia="仿宋_GB2312" w:cs="Times New Roman"/>
                <w:bCs/>
                <w:color w:val="000000" w:themeColor="text1"/>
                <w:kern w:val="0"/>
                <w:sz w:val="24"/>
                <w:szCs w:val="20"/>
                <w14:textFill>
                  <w14:solidFill>
                    <w14:schemeClr w14:val="tx1"/>
                  </w14:solidFill>
                </w14:textFill>
              </w:rPr>
            </w:pPr>
            <w:r>
              <w:rPr>
                <w:rFonts w:hint="eastAsia" w:ascii="仿宋_GB2312" w:hAnsi="Times New Roman" w:eastAsia="仿宋_GB2312" w:cs="Times New Roman"/>
                <w:bCs/>
                <w:color w:val="000000" w:themeColor="text1"/>
                <w:kern w:val="0"/>
                <w:sz w:val="24"/>
                <w:szCs w:val="20"/>
                <w14:textFill>
                  <w14:solidFill>
                    <w14:schemeClr w14:val="tx1"/>
                  </w14:solidFill>
                </w14:textFill>
              </w:rPr>
              <w:t>1月16日</w:t>
            </w:r>
          </w:p>
        </w:tc>
        <w:tc>
          <w:tcPr>
            <w:tcW w:w="1390" w:type="dxa"/>
            <w:tcBorders>
              <w:top w:val="single" w:color="auto" w:sz="8" w:space="0"/>
            </w:tcBorders>
            <w:vAlign w:val="center"/>
          </w:tcPr>
          <w:p>
            <w:pPr>
              <w:jc w:val="center"/>
              <w:rPr>
                <w:rFonts w:ascii="仿宋_GB2312" w:hAnsi="Times New Roman" w:eastAsia="仿宋_GB2312" w:cs="Times New Roman"/>
                <w:bCs/>
                <w:color w:val="000000" w:themeColor="text1"/>
                <w:kern w:val="0"/>
                <w:sz w:val="24"/>
                <w:szCs w:val="20"/>
                <w14:textFill>
                  <w14:solidFill>
                    <w14:schemeClr w14:val="tx1"/>
                  </w14:solidFill>
                </w14:textFill>
              </w:rPr>
            </w:pPr>
            <w:r>
              <w:rPr>
                <w:rFonts w:hint="eastAsia" w:ascii="仿宋_GB2312" w:hAnsi="Times New Roman" w:eastAsia="仿宋_GB2312" w:cs="Times New Roman"/>
                <w:bCs/>
                <w:color w:val="000000" w:themeColor="text1"/>
                <w:kern w:val="0"/>
                <w:sz w:val="24"/>
                <w:szCs w:val="20"/>
                <w14:textFill>
                  <w14:solidFill>
                    <w14:schemeClr w14:val="tx1"/>
                  </w14:solidFill>
                </w14:textFill>
              </w:rPr>
              <w:t>09:00-11:30</w:t>
            </w:r>
          </w:p>
        </w:tc>
        <w:tc>
          <w:tcPr>
            <w:tcW w:w="3162" w:type="dxa"/>
            <w:tcBorders>
              <w:top w:val="single" w:color="auto" w:sz="8" w:space="0"/>
            </w:tcBorders>
            <w:vAlign w:val="center"/>
          </w:tcPr>
          <w:p>
            <w:pPr>
              <w:jc w:val="center"/>
              <w:rPr>
                <w:rFonts w:ascii="仿宋_GB2312" w:hAnsi="Times New Roman" w:eastAsia="仿宋_GB2312" w:cs="Times New Roman"/>
                <w:bCs/>
                <w:color w:val="000000" w:themeColor="text1"/>
                <w:kern w:val="0"/>
                <w:sz w:val="24"/>
                <w:szCs w:val="20"/>
                <w14:textFill>
                  <w14:solidFill>
                    <w14:schemeClr w14:val="tx1"/>
                  </w14:solidFill>
                </w14:textFill>
              </w:rPr>
            </w:pPr>
            <w:r>
              <w:rPr>
                <w:rFonts w:hint="eastAsia" w:ascii="仿宋_GB2312" w:hAnsi="Times New Roman" w:eastAsia="仿宋_GB2312" w:cs="Times New Roman"/>
                <w:bCs/>
                <w:color w:val="000000" w:themeColor="text1"/>
                <w:kern w:val="0"/>
                <w:sz w:val="24"/>
                <w:szCs w:val="20"/>
                <w14:textFill>
                  <w14:solidFill>
                    <w14:schemeClr w14:val="tx1"/>
                  </w14:solidFill>
                </w14:textFill>
              </w:rPr>
              <w:t>顺应第四次工业革命进程，变革数字化人才培养模式</w:t>
            </w:r>
          </w:p>
        </w:tc>
        <w:tc>
          <w:tcPr>
            <w:tcW w:w="2694" w:type="dxa"/>
            <w:vMerge w:val="restart"/>
            <w:tcBorders>
              <w:top w:val="single" w:color="auto" w:sz="8" w:space="0"/>
            </w:tcBorders>
            <w:vAlign w:val="center"/>
          </w:tcPr>
          <w:p>
            <w:pPr>
              <w:jc w:val="center"/>
              <w:rPr>
                <w:rFonts w:ascii="仿宋_GB2312" w:hAnsi="Times New Roman" w:eastAsia="仿宋_GB2312" w:cs="Times New Roman"/>
                <w:b/>
                <w:bCs/>
                <w:color w:val="000000" w:themeColor="text1"/>
                <w:kern w:val="0"/>
                <w:sz w:val="28"/>
                <w:szCs w:val="20"/>
                <w14:textFill>
                  <w14:solidFill>
                    <w14:schemeClr w14:val="tx1"/>
                  </w14:solidFill>
                </w14:textFill>
              </w:rPr>
            </w:pPr>
            <w:r>
              <w:rPr>
                <w:rFonts w:hint="eastAsia" w:ascii="仿宋_GB2312" w:hAnsi="Times New Roman" w:eastAsia="仿宋_GB2312" w:cs="Times New Roman"/>
                <w:b/>
                <w:bCs/>
                <w:color w:val="000000" w:themeColor="text1"/>
                <w:kern w:val="0"/>
                <w:sz w:val="28"/>
                <w:szCs w:val="20"/>
                <w14:textFill>
                  <w14:solidFill>
                    <w14:schemeClr w14:val="tx1"/>
                  </w14:solidFill>
                </w14:textFill>
              </w:rPr>
              <w:t>覃  川</w:t>
            </w:r>
          </w:p>
          <w:p>
            <w:pPr>
              <w:jc w:val="center"/>
              <w:rPr>
                <w:rFonts w:ascii="仿宋_GB2312" w:hAnsi="Times New Roman" w:eastAsia="仿宋_GB2312" w:cs="Times New Roman"/>
                <w:bCs/>
                <w:color w:val="000000" w:themeColor="text1"/>
                <w:kern w:val="0"/>
                <w:sz w:val="24"/>
                <w:szCs w:val="20"/>
                <w14:textFill>
                  <w14:solidFill>
                    <w14:schemeClr w14:val="tx1"/>
                  </w14:solidFill>
                </w14:textFill>
              </w:rPr>
            </w:pPr>
            <w:r>
              <w:rPr>
                <w:rFonts w:hint="eastAsia" w:ascii="仿宋_GB2312" w:hAnsi="Times New Roman" w:eastAsia="仿宋_GB2312" w:cs="Times New Roman"/>
                <w:bCs/>
                <w:color w:val="000000" w:themeColor="text1"/>
                <w:kern w:val="0"/>
                <w:sz w:val="24"/>
                <w:szCs w:val="20"/>
                <w14:textFill>
                  <w14:solidFill>
                    <w14:schemeClr w14:val="tx1"/>
                  </w14:solidFill>
                </w14:textFill>
              </w:rPr>
              <w:t>青岛职业技术学院</w:t>
            </w:r>
          </w:p>
          <w:p>
            <w:pPr>
              <w:jc w:val="center"/>
              <w:rPr>
                <w:rFonts w:ascii="仿宋_GB2312" w:hAnsi="Times New Roman" w:eastAsia="仿宋_GB2312" w:cs="Times New Roman"/>
                <w:bCs/>
                <w:color w:val="000000" w:themeColor="text1"/>
                <w:kern w:val="0"/>
                <w:sz w:val="24"/>
                <w:szCs w:val="20"/>
                <w14:textFill>
                  <w14:solidFill>
                    <w14:schemeClr w14:val="tx1"/>
                  </w14:solidFill>
                </w14:textFill>
              </w:rPr>
            </w:pPr>
            <w:r>
              <w:rPr>
                <w:rFonts w:hint="eastAsia" w:ascii="仿宋_GB2312" w:hAnsi="Times New Roman" w:eastAsia="仿宋_GB2312" w:cs="Times New Roman"/>
                <w:bCs/>
                <w:color w:val="000000" w:themeColor="text1"/>
                <w:kern w:val="0"/>
                <w:sz w:val="24"/>
                <w:szCs w:val="20"/>
                <w14:textFill>
                  <w14:solidFill>
                    <w14:schemeClr w14:val="tx1"/>
                  </w14:solidFill>
                </w14:textFill>
              </w:rPr>
              <w:t>原院长，教授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8" w:type="dxa"/>
            <w:vMerge w:val="continue"/>
            <w:vAlign w:val="center"/>
          </w:tcPr>
          <w:p>
            <w:pPr>
              <w:jc w:val="center"/>
              <w:rPr>
                <w:rFonts w:ascii="仿宋_GB2312" w:hAnsi="Times New Roman" w:eastAsia="仿宋_GB2312" w:cs="Times New Roman"/>
                <w:bCs/>
                <w:color w:val="000000" w:themeColor="text1"/>
                <w:kern w:val="0"/>
                <w:sz w:val="24"/>
                <w:szCs w:val="20"/>
                <w14:textFill>
                  <w14:solidFill>
                    <w14:schemeClr w14:val="tx1"/>
                  </w14:solidFill>
                </w14:textFill>
              </w:rPr>
            </w:pPr>
          </w:p>
        </w:tc>
        <w:tc>
          <w:tcPr>
            <w:tcW w:w="1390" w:type="dxa"/>
            <w:vAlign w:val="center"/>
          </w:tcPr>
          <w:p>
            <w:pPr>
              <w:jc w:val="center"/>
              <w:rPr>
                <w:rFonts w:ascii="仿宋_GB2312" w:hAnsi="Times New Roman" w:eastAsia="仿宋_GB2312" w:cs="Times New Roman"/>
                <w:bCs/>
                <w:color w:val="000000" w:themeColor="text1"/>
                <w:kern w:val="0"/>
                <w:sz w:val="24"/>
                <w:szCs w:val="20"/>
                <w14:textFill>
                  <w14:solidFill>
                    <w14:schemeClr w14:val="tx1"/>
                  </w14:solidFill>
                </w14:textFill>
              </w:rPr>
            </w:pPr>
            <w:r>
              <w:rPr>
                <w:rFonts w:hint="eastAsia" w:ascii="仿宋_GB2312" w:hAnsi="Times New Roman" w:eastAsia="仿宋_GB2312" w:cs="Times New Roman"/>
                <w:bCs/>
                <w:color w:val="000000" w:themeColor="text1"/>
                <w:kern w:val="0"/>
                <w:sz w:val="24"/>
                <w:szCs w:val="20"/>
                <w14:textFill>
                  <w14:solidFill>
                    <w14:schemeClr w14:val="tx1"/>
                  </w14:solidFill>
                </w14:textFill>
              </w:rPr>
              <w:t>11:30-12:00</w:t>
            </w:r>
          </w:p>
        </w:tc>
        <w:tc>
          <w:tcPr>
            <w:tcW w:w="3162" w:type="dxa"/>
            <w:vAlign w:val="center"/>
          </w:tcPr>
          <w:p>
            <w:pPr>
              <w:jc w:val="center"/>
              <w:rPr>
                <w:rFonts w:ascii="仿宋_GB2312" w:hAnsi="Times New Roman" w:eastAsia="仿宋_GB2312" w:cs="Times New Roman"/>
                <w:bCs/>
                <w:color w:val="000000" w:themeColor="text1"/>
                <w:kern w:val="0"/>
                <w:sz w:val="24"/>
                <w:szCs w:val="20"/>
                <w14:textFill>
                  <w14:solidFill>
                    <w14:schemeClr w14:val="tx1"/>
                  </w14:solidFill>
                </w14:textFill>
              </w:rPr>
            </w:pPr>
            <w:r>
              <w:rPr>
                <w:rFonts w:hint="eastAsia" w:ascii="仿宋_GB2312" w:hAnsi="Times New Roman" w:eastAsia="仿宋_GB2312" w:cs="Times New Roman"/>
                <w:bCs/>
                <w:color w:val="000000" w:themeColor="text1"/>
                <w:kern w:val="0"/>
                <w:sz w:val="24"/>
                <w:szCs w:val="20"/>
                <w14:textFill>
                  <w14:solidFill>
                    <w14:schemeClr w14:val="tx1"/>
                  </w14:solidFill>
                </w14:textFill>
              </w:rPr>
              <w:t>互动答疑</w:t>
            </w:r>
          </w:p>
        </w:tc>
        <w:tc>
          <w:tcPr>
            <w:tcW w:w="2694" w:type="dxa"/>
            <w:vMerge w:val="continue"/>
            <w:vAlign w:val="center"/>
          </w:tcPr>
          <w:p>
            <w:pPr>
              <w:jc w:val="center"/>
              <w:rPr>
                <w:rFonts w:ascii="仿宋_GB2312" w:hAnsi="Times New Roman" w:eastAsia="仿宋_GB2312" w:cs="Times New Roman"/>
                <w:bCs/>
                <w:color w:val="000000" w:themeColor="text1"/>
                <w:kern w:val="0"/>
                <w:sz w:val="24"/>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8" w:type="dxa"/>
            <w:vMerge w:val="continue"/>
            <w:vAlign w:val="center"/>
          </w:tcPr>
          <w:p>
            <w:pPr>
              <w:jc w:val="center"/>
              <w:rPr>
                <w:rFonts w:ascii="仿宋_GB2312" w:hAnsi="Times New Roman" w:eastAsia="仿宋_GB2312" w:cs="Times New Roman"/>
                <w:bCs/>
                <w:color w:val="000000" w:themeColor="text1"/>
                <w:kern w:val="0"/>
                <w:sz w:val="24"/>
                <w:szCs w:val="20"/>
                <w14:textFill>
                  <w14:solidFill>
                    <w14:schemeClr w14:val="tx1"/>
                  </w14:solidFill>
                </w14:textFill>
              </w:rPr>
            </w:pPr>
          </w:p>
        </w:tc>
        <w:tc>
          <w:tcPr>
            <w:tcW w:w="1390" w:type="dxa"/>
            <w:vAlign w:val="center"/>
          </w:tcPr>
          <w:p>
            <w:pPr>
              <w:jc w:val="center"/>
              <w:rPr>
                <w:rFonts w:ascii="仿宋_GB2312" w:hAnsi="Times New Roman" w:eastAsia="仿宋_GB2312" w:cs="Times New Roman"/>
                <w:bCs/>
                <w:color w:val="000000" w:themeColor="text1"/>
                <w:kern w:val="0"/>
                <w:sz w:val="24"/>
                <w:szCs w:val="20"/>
                <w14:textFill>
                  <w14:solidFill>
                    <w14:schemeClr w14:val="tx1"/>
                  </w14:solidFill>
                </w14:textFill>
              </w:rPr>
            </w:pPr>
            <w:r>
              <w:rPr>
                <w:rFonts w:hint="eastAsia" w:ascii="仿宋_GB2312" w:hAnsi="Times New Roman" w:eastAsia="仿宋_GB2312" w:cs="Times New Roman"/>
                <w:bCs/>
                <w:color w:val="000000" w:themeColor="text1"/>
                <w:kern w:val="0"/>
                <w:sz w:val="24"/>
                <w:szCs w:val="20"/>
                <w14:textFill>
                  <w14:solidFill>
                    <w14:schemeClr w14:val="tx1"/>
                  </w14:solidFill>
                </w14:textFill>
              </w:rPr>
              <w:t>14:30-17:00</w:t>
            </w:r>
          </w:p>
        </w:tc>
        <w:tc>
          <w:tcPr>
            <w:tcW w:w="3162" w:type="dxa"/>
            <w:vAlign w:val="center"/>
          </w:tcPr>
          <w:p>
            <w:pPr>
              <w:jc w:val="center"/>
              <w:rPr>
                <w:rFonts w:ascii="仿宋_GB2312" w:hAnsi="Times New Roman" w:eastAsia="仿宋_GB2312" w:cs="Times New Roman"/>
                <w:bCs/>
                <w:color w:val="000000" w:themeColor="text1"/>
                <w:kern w:val="0"/>
                <w:sz w:val="24"/>
                <w:szCs w:val="20"/>
                <w14:textFill>
                  <w14:solidFill>
                    <w14:schemeClr w14:val="tx1"/>
                  </w14:solidFill>
                </w14:textFill>
              </w:rPr>
            </w:pPr>
            <w:r>
              <w:rPr>
                <w:rFonts w:hint="eastAsia" w:ascii="仿宋_GB2312" w:hAnsi="Times New Roman" w:eastAsia="仿宋_GB2312" w:cs="Times New Roman"/>
                <w:bCs/>
                <w:color w:val="000000" w:themeColor="text1"/>
                <w:kern w:val="0"/>
                <w:sz w:val="24"/>
                <w:szCs w:val="20"/>
                <w14:textFill>
                  <w14:solidFill>
                    <w14:schemeClr w14:val="tx1"/>
                  </w14:solidFill>
                </w14:textFill>
              </w:rPr>
              <w:t>VR/AR赋能职业教育“三教”改革：理念、路径与实践</w:t>
            </w:r>
          </w:p>
        </w:tc>
        <w:tc>
          <w:tcPr>
            <w:tcW w:w="2694" w:type="dxa"/>
            <w:vMerge w:val="restart"/>
            <w:vAlign w:val="center"/>
          </w:tcPr>
          <w:p>
            <w:pPr>
              <w:jc w:val="center"/>
              <w:rPr>
                <w:rFonts w:ascii="仿宋_GB2312" w:hAnsi="Times New Roman" w:eastAsia="仿宋_GB2312" w:cs="Times New Roman"/>
                <w:b/>
                <w:bCs/>
                <w:color w:val="000000" w:themeColor="text1"/>
                <w:kern w:val="0"/>
                <w:sz w:val="28"/>
                <w:szCs w:val="20"/>
                <w14:textFill>
                  <w14:solidFill>
                    <w14:schemeClr w14:val="tx1"/>
                  </w14:solidFill>
                </w14:textFill>
              </w:rPr>
            </w:pPr>
            <w:r>
              <w:rPr>
                <w:rFonts w:hint="eastAsia" w:ascii="仿宋_GB2312" w:hAnsi="Times New Roman" w:eastAsia="仿宋_GB2312" w:cs="Times New Roman"/>
                <w:b/>
                <w:bCs/>
                <w:color w:val="000000" w:themeColor="text1"/>
                <w:kern w:val="0"/>
                <w:sz w:val="28"/>
                <w:szCs w:val="20"/>
                <w14:textFill>
                  <w14:solidFill>
                    <w14:schemeClr w14:val="tx1"/>
                  </w14:solidFill>
                </w14:textFill>
              </w:rPr>
              <w:t>何汉武</w:t>
            </w:r>
          </w:p>
          <w:p>
            <w:pPr>
              <w:jc w:val="center"/>
              <w:rPr>
                <w:rFonts w:ascii="仿宋_GB2312" w:hAnsi="Times New Roman" w:eastAsia="仿宋_GB2312" w:cs="Times New Roman"/>
                <w:bCs/>
                <w:color w:val="000000" w:themeColor="text1"/>
                <w:kern w:val="0"/>
                <w:sz w:val="24"/>
                <w:szCs w:val="20"/>
                <w14:textFill>
                  <w14:solidFill>
                    <w14:schemeClr w14:val="tx1"/>
                  </w14:solidFill>
                </w14:textFill>
              </w:rPr>
            </w:pPr>
            <w:r>
              <w:rPr>
                <w:rFonts w:hint="eastAsia" w:ascii="仿宋_GB2312" w:hAnsi="Times New Roman" w:eastAsia="仿宋_GB2312" w:cs="Times New Roman"/>
                <w:bCs/>
                <w:color w:val="000000" w:themeColor="text1"/>
                <w:kern w:val="0"/>
                <w:sz w:val="24"/>
                <w:szCs w:val="20"/>
                <w14:textFill>
                  <w14:solidFill>
                    <w14:schemeClr w14:val="tx1"/>
                  </w14:solidFill>
                </w14:textFill>
              </w:rPr>
              <w:t>广东工贸职业技术学院</w:t>
            </w:r>
          </w:p>
          <w:p>
            <w:pPr>
              <w:jc w:val="center"/>
              <w:rPr>
                <w:rFonts w:ascii="仿宋_GB2312" w:hAnsi="Times New Roman" w:eastAsia="仿宋_GB2312" w:cs="Times New Roman"/>
                <w:bCs/>
                <w:color w:val="000000" w:themeColor="text1"/>
                <w:kern w:val="0"/>
                <w:sz w:val="24"/>
                <w:szCs w:val="20"/>
                <w14:textFill>
                  <w14:solidFill>
                    <w14:schemeClr w14:val="tx1"/>
                  </w14:solidFill>
                </w14:textFill>
              </w:rPr>
            </w:pPr>
            <w:r>
              <w:rPr>
                <w:rFonts w:hint="eastAsia" w:ascii="仿宋_GB2312" w:hAnsi="Times New Roman" w:eastAsia="仿宋_GB2312" w:cs="Times New Roman"/>
                <w:bCs/>
                <w:color w:val="000000" w:themeColor="text1"/>
                <w:kern w:val="0"/>
                <w:sz w:val="24"/>
                <w:szCs w:val="20"/>
                <w14:textFill>
                  <w14:solidFill>
                    <w14:schemeClr w14:val="tx1"/>
                  </w14:solidFill>
                </w14:textFill>
              </w:rPr>
              <w:t>校长，二级教授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8" w:type="dxa"/>
            <w:vMerge w:val="continue"/>
            <w:vAlign w:val="center"/>
          </w:tcPr>
          <w:p>
            <w:pPr>
              <w:jc w:val="center"/>
              <w:rPr>
                <w:rFonts w:ascii="仿宋_GB2312" w:hAnsi="Times New Roman" w:eastAsia="仿宋_GB2312" w:cs="Times New Roman"/>
                <w:bCs/>
                <w:color w:val="000000" w:themeColor="text1"/>
                <w:kern w:val="0"/>
                <w:sz w:val="24"/>
                <w:szCs w:val="20"/>
                <w14:textFill>
                  <w14:solidFill>
                    <w14:schemeClr w14:val="tx1"/>
                  </w14:solidFill>
                </w14:textFill>
              </w:rPr>
            </w:pPr>
          </w:p>
        </w:tc>
        <w:tc>
          <w:tcPr>
            <w:tcW w:w="1390" w:type="dxa"/>
            <w:vAlign w:val="center"/>
          </w:tcPr>
          <w:p>
            <w:pPr>
              <w:jc w:val="center"/>
              <w:rPr>
                <w:rFonts w:ascii="仿宋_GB2312" w:hAnsi="Times New Roman" w:eastAsia="仿宋_GB2312" w:cs="Times New Roman"/>
                <w:bCs/>
                <w:color w:val="000000" w:themeColor="text1"/>
                <w:kern w:val="0"/>
                <w:sz w:val="24"/>
                <w:szCs w:val="20"/>
                <w14:textFill>
                  <w14:solidFill>
                    <w14:schemeClr w14:val="tx1"/>
                  </w14:solidFill>
                </w14:textFill>
              </w:rPr>
            </w:pPr>
            <w:r>
              <w:rPr>
                <w:rFonts w:hint="eastAsia" w:ascii="仿宋_GB2312" w:hAnsi="Times New Roman" w:eastAsia="仿宋_GB2312" w:cs="Times New Roman"/>
                <w:bCs/>
                <w:color w:val="000000" w:themeColor="text1"/>
                <w:kern w:val="0"/>
                <w:sz w:val="24"/>
                <w:szCs w:val="20"/>
                <w14:textFill>
                  <w14:solidFill>
                    <w14:schemeClr w14:val="tx1"/>
                  </w14:solidFill>
                </w14:textFill>
              </w:rPr>
              <w:t>17:00-17:30</w:t>
            </w:r>
          </w:p>
        </w:tc>
        <w:tc>
          <w:tcPr>
            <w:tcW w:w="3162" w:type="dxa"/>
            <w:vAlign w:val="center"/>
          </w:tcPr>
          <w:p>
            <w:pPr>
              <w:jc w:val="center"/>
              <w:rPr>
                <w:rFonts w:ascii="仿宋_GB2312" w:hAnsi="Times New Roman" w:eastAsia="仿宋_GB2312" w:cs="Times New Roman"/>
                <w:bCs/>
                <w:color w:val="000000" w:themeColor="text1"/>
                <w:kern w:val="0"/>
                <w:sz w:val="24"/>
                <w:szCs w:val="20"/>
                <w14:textFill>
                  <w14:solidFill>
                    <w14:schemeClr w14:val="tx1"/>
                  </w14:solidFill>
                </w14:textFill>
              </w:rPr>
            </w:pPr>
            <w:r>
              <w:rPr>
                <w:rFonts w:hint="eastAsia" w:ascii="仿宋_GB2312" w:hAnsi="Times New Roman" w:eastAsia="仿宋_GB2312" w:cs="Times New Roman"/>
                <w:bCs/>
                <w:color w:val="000000" w:themeColor="text1"/>
                <w:kern w:val="0"/>
                <w:sz w:val="24"/>
                <w:szCs w:val="20"/>
                <w14:textFill>
                  <w14:solidFill>
                    <w14:schemeClr w14:val="tx1"/>
                  </w14:solidFill>
                </w14:textFill>
              </w:rPr>
              <w:t>互动答疑</w:t>
            </w:r>
          </w:p>
        </w:tc>
        <w:tc>
          <w:tcPr>
            <w:tcW w:w="2694" w:type="dxa"/>
            <w:vMerge w:val="continue"/>
            <w:vAlign w:val="center"/>
          </w:tcPr>
          <w:p>
            <w:pPr>
              <w:jc w:val="center"/>
              <w:rPr>
                <w:rFonts w:ascii="仿宋_GB2312" w:hAnsi="Times New Roman" w:eastAsia="仿宋_GB2312" w:cs="Times New Roman"/>
                <w:bCs/>
                <w:color w:val="000000" w:themeColor="text1"/>
                <w:kern w:val="0"/>
                <w:sz w:val="24"/>
                <w:szCs w:val="20"/>
                <w14:textFill>
                  <w14:solidFill>
                    <w14:schemeClr w14:val="tx1"/>
                  </w14:solidFill>
                </w14:textFill>
              </w:rPr>
            </w:pPr>
          </w:p>
        </w:tc>
      </w:tr>
    </w:tbl>
    <w:p>
      <w:pPr>
        <w:widowControl/>
        <w:spacing w:after="150"/>
        <w:ind w:firstLine="560" w:firstLineChars="200"/>
        <w:jc w:val="left"/>
        <w:rPr>
          <w:rFonts w:hint="eastAsia" w:ascii="仿宋_GB2312" w:hAnsi="微软雅黑" w:eastAsia="仿宋_GB2312" w:cs="宋体"/>
          <w:color w:val="000000" w:themeColor="text1"/>
          <w:kern w:val="0"/>
          <w:sz w:val="28"/>
          <w:szCs w:val="28"/>
          <w:lang w:eastAsia="zh-CN"/>
          <w14:textFill>
            <w14:solidFill>
              <w14:schemeClr w14:val="tx1"/>
            </w14:solidFill>
          </w14:textFill>
        </w:rPr>
      </w:pPr>
    </w:p>
    <w:p>
      <w:pPr>
        <w:pStyle w:val="3"/>
        <w:keepNext w:val="0"/>
        <w:keepLines w:val="0"/>
        <w:widowControl/>
        <w:suppressLineNumbers w:val="0"/>
        <w:spacing w:line="480" w:lineRule="atLeast"/>
        <w:ind w:left="0" w:firstLine="555"/>
      </w:pPr>
      <w:r>
        <w:rPr>
          <w:rFonts w:hint="eastAsia" w:ascii="仿宋_GB2312" w:hAnsi="宋体" w:eastAsia="仿宋_GB2312" w:cstheme="minorBidi"/>
          <w:color w:val="000000" w:themeColor="text1"/>
          <w:kern w:val="2"/>
          <w:sz w:val="28"/>
          <w:szCs w:val="28"/>
          <w:lang w:val="en-US" w:eastAsia="zh-CN" w:bidi="ar-SA"/>
          <w14:textFill>
            <w14:solidFill>
              <w14:schemeClr w14:val="tx1"/>
            </w14:solidFill>
          </w14:textFill>
        </w:rPr>
        <w:t xml:space="preserve"> </w:t>
      </w:r>
      <w:r>
        <w:rPr>
          <w:rFonts w:ascii="仿宋_GB2312" w:hAnsi="宋体" w:eastAsia="仿宋_GB2312" w:cs="仿宋_GB2312"/>
          <w:color w:val="000000"/>
          <w:sz w:val="28"/>
          <w:szCs w:val="28"/>
        </w:rPr>
        <w:t>请各学院组织</w:t>
      </w:r>
      <w:r>
        <w:rPr>
          <w:rFonts w:hint="eastAsia" w:ascii="仿宋_GB2312" w:hAnsi="宋体" w:eastAsia="仿宋_GB2312" w:cs="仿宋_GB2312"/>
          <w:color w:val="000000"/>
          <w:sz w:val="28"/>
          <w:szCs w:val="28"/>
          <w:lang w:eastAsia="zh-CN"/>
        </w:rPr>
        <w:t>已报名</w:t>
      </w:r>
      <w:r>
        <w:rPr>
          <w:rFonts w:ascii="仿宋_GB2312" w:hAnsi="宋体" w:eastAsia="仿宋_GB2312" w:cs="仿宋_GB2312"/>
          <w:color w:val="000000"/>
          <w:sz w:val="28"/>
          <w:szCs w:val="28"/>
        </w:rPr>
        <w:t>老师按时参加培训并</w:t>
      </w:r>
      <w:r>
        <w:rPr>
          <w:rFonts w:ascii="仿宋_GB2312" w:hAnsi="宋体" w:eastAsia="仿宋_GB2312" w:cs="仿宋_GB2312"/>
          <w:b/>
          <w:bCs/>
          <w:color w:val="000000"/>
          <w:sz w:val="28"/>
          <w:szCs w:val="28"/>
        </w:rPr>
        <w:t>做好</w:t>
      </w:r>
      <w:r>
        <w:rPr>
          <w:rFonts w:hint="eastAsia" w:ascii="仿宋_GB2312" w:hAnsi="宋体" w:eastAsia="仿宋_GB2312" w:cs="仿宋_GB2312"/>
          <w:b/>
          <w:bCs/>
          <w:color w:val="000000"/>
          <w:sz w:val="28"/>
          <w:szCs w:val="28"/>
          <w:lang w:eastAsia="zh-CN"/>
        </w:rPr>
        <w:t>签到签退考勤记录</w:t>
      </w:r>
      <w:r>
        <w:rPr>
          <w:rFonts w:ascii="仿宋_GB2312" w:hAnsi="宋体" w:eastAsia="仿宋_GB2312" w:cs="仿宋_GB2312"/>
          <w:color w:val="000000"/>
          <w:sz w:val="28"/>
          <w:szCs w:val="28"/>
        </w:rPr>
        <w:t>，</w:t>
      </w:r>
      <w:r>
        <w:rPr>
          <w:rFonts w:hint="eastAsia" w:ascii="仿宋_GB2312" w:hAnsi="宋体" w:eastAsia="仿宋_GB2312" w:cs="仿宋_GB2312"/>
          <w:color w:val="000000"/>
          <w:sz w:val="28"/>
          <w:szCs w:val="28"/>
          <w:lang w:eastAsia="zh-CN"/>
        </w:rPr>
        <w:t>会后考勤记录表交至教务处周峰老师。</w:t>
      </w:r>
      <w:r>
        <w:rPr>
          <w:rFonts w:ascii="仿宋_GB2312" w:hAnsi="宋体" w:eastAsia="仿宋_GB2312" w:cs="仿宋_GB2312"/>
          <w:color w:val="000000"/>
          <w:sz w:val="28"/>
          <w:szCs w:val="28"/>
        </w:rPr>
        <w:t>届时</w:t>
      </w:r>
      <w:r>
        <w:rPr>
          <w:rFonts w:hint="default" w:ascii="仿宋_GB2312" w:hAnsi="宋体" w:eastAsia="仿宋_GB2312" w:cs="仿宋_GB2312"/>
          <w:color w:val="000000"/>
          <w:sz w:val="28"/>
          <w:szCs w:val="28"/>
        </w:rPr>
        <w:t>中国高等教育培训中心</w:t>
      </w:r>
      <w:r>
        <w:rPr>
          <w:rFonts w:hint="eastAsia" w:ascii="仿宋_GB2312" w:hAnsi="宋体" w:eastAsia="仿宋_GB2312" w:cs="仿宋_GB2312"/>
          <w:color w:val="000000"/>
          <w:sz w:val="28"/>
          <w:szCs w:val="28"/>
          <w:lang w:eastAsia="zh-CN"/>
        </w:rPr>
        <w:t>将颁发继续教育</w:t>
      </w:r>
      <w:r>
        <w:rPr>
          <w:rFonts w:hint="default" w:ascii="仿宋_GB2312" w:hAnsi="宋体" w:eastAsia="仿宋_GB2312" w:cs="仿宋_GB2312"/>
          <w:color w:val="000000"/>
          <w:sz w:val="28"/>
          <w:szCs w:val="28"/>
        </w:rPr>
        <w:t>学时证明。</w:t>
      </w:r>
      <w:bookmarkStart w:id="1" w:name="_GoBack"/>
      <w:bookmarkEnd w:id="1"/>
    </w:p>
    <w:p>
      <w:pPr>
        <w:spacing w:line="480" w:lineRule="exact"/>
        <w:ind w:firstLine="560" w:firstLineChars="200"/>
        <w:rPr>
          <w:rFonts w:hint="eastAsia" w:ascii="仿宋_GB2312" w:hAnsi="宋体" w:eastAsia="仿宋_GB2312" w:cstheme="minorBidi"/>
          <w:color w:val="000000" w:themeColor="text1"/>
          <w:kern w:val="2"/>
          <w:sz w:val="28"/>
          <w:szCs w:val="28"/>
          <w:lang w:val="en-US" w:eastAsia="zh-CN" w:bidi="ar-SA"/>
          <w14:textFill>
            <w14:solidFill>
              <w14:schemeClr w14:val="tx1"/>
            </w14:solidFill>
          </w14:textFill>
        </w:rPr>
      </w:pPr>
    </w:p>
    <w:p>
      <w:pPr>
        <w:widowControl/>
        <w:spacing w:after="150"/>
        <w:ind w:firstLine="560" w:firstLineChars="200"/>
        <w:jc w:val="left"/>
        <w:rPr>
          <w:rFonts w:hint="eastAsia" w:ascii="仿宋_GB2312" w:hAnsi="微软雅黑" w:eastAsia="仿宋_GB2312" w:cs="宋体"/>
          <w:color w:val="000000" w:themeColor="text1"/>
          <w:kern w:val="0"/>
          <w:sz w:val="28"/>
          <w:szCs w:val="28"/>
          <w:lang w:eastAsia="zh-CN"/>
          <w14:textFill>
            <w14:solidFill>
              <w14:schemeClr w14:val="tx1"/>
            </w14:solidFill>
          </w14:textFill>
        </w:rPr>
      </w:pPr>
    </w:p>
    <w:p>
      <w:pPr>
        <w:widowControl/>
        <w:spacing w:after="150"/>
        <w:ind w:firstLine="560" w:firstLineChars="200"/>
        <w:jc w:val="left"/>
        <w:rPr>
          <w:rFonts w:ascii="仿宋_GB2312" w:hAnsi="微软雅黑" w:eastAsia="仿宋_GB2312" w:cs="宋体"/>
          <w:color w:val="000000" w:themeColor="text1"/>
          <w:kern w:val="0"/>
          <w:sz w:val="28"/>
          <w:szCs w:val="28"/>
          <w14:textFill>
            <w14:solidFill>
              <w14:schemeClr w14:val="tx1"/>
            </w14:solidFill>
          </w14:textFill>
        </w:rPr>
      </w:pPr>
      <w:r>
        <w:rPr>
          <w:rFonts w:hint="eastAsia" w:ascii="仿宋_GB2312" w:hAnsi="微软雅黑" w:eastAsia="仿宋_GB2312" w:cs="宋体"/>
          <w:color w:val="000000" w:themeColor="text1"/>
          <w:kern w:val="0"/>
          <w:sz w:val="28"/>
          <w:szCs w:val="28"/>
          <w14:textFill>
            <w14:solidFill>
              <w14:schemeClr w14:val="tx1"/>
            </w14:solidFill>
          </w14:textFill>
        </w:rPr>
        <w:t> </w:t>
      </w:r>
    </w:p>
    <w:p>
      <w:pPr>
        <w:widowControl/>
        <w:spacing w:after="150"/>
        <w:jc w:val="left"/>
        <w:rPr>
          <w:rFonts w:ascii="仿宋_GB2312" w:hAnsi="微软雅黑" w:eastAsia="仿宋_GB2312" w:cs="宋体"/>
          <w:color w:val="000000" w:themeColor="text1"/>
          <w:kern w:val="0"/>
          <w:sz w:val="28"/>
          <w:szCs w:val="28"/>
          <w14:textFill>
            <w14:solidFill>
              <w14:schemeClr w14:val="tx1"/>
            </w14:solidFill>
          </w14:textFill>
        </w:rPr>
      </w:pPr>
      <w:r>
        <w:rPr>
          <w:rFonts w:hint="eastAsia" w:ascii="仿宋_GB2312" w:hAnsi="微软雅黑" w:eastAsia="仿宋_GB2312" w:cs="宋体"/>
          <w:color w:val="000000" w:themeColor="text1"/>
          <w:kern w:val="0"/>
          <w:sz w:val="28"/>
          <w:szCs w:val="28"/>
          <w14:textFill>
            <w14:solidFill>
              <w14:schemeClr w14:val="tx1"/>
            </w14:solidFill>
          </w14:textFill>
        </w:rPr>
        <w:t> </w:t>
      </w:r>
    </w:p>
    <w:p>
      <w:pPr>
        <w:widowControl/>
        <w:ind w:right="240"/>
        <w:jc w:val="right"/>
        <w:rPr>
          <w:rFonts w:hint="eastAsia" w:ascii="仿宋_GB2312" w:hAnsi="微软雅黑" w:eastAsia="仿宋_GB2312" w:cs="宋体"/>
          <w:color w:val="000000" w:themeColor="text1"/>
          <w:kern w:val="0"/>
          <w:sz w:val="28"/>
          <w:szCs w:val="28"/>
          <w:lang w:eastAsia="zh-CN"/>
          <w14:textFill>
            <w14:solidFill>
              <w14:schemeClr w14:val="tx1"/>
            </w14:solidFill>
          </w14:textFill>
        </w:rPr>
      </w:pPr>
      <w:r>
        <w:rPr>
          <w:rFonts w:hint="eastAsia" w:ascii="仿宋_GB2312" w:hAnsi="微软雅黑" w:eastAsia="仿宋_GB2312" w:cs="宋体"/>
          <w:color w:val="000000" w:themeColor="text1"/>
          <w:kern w:val="0"/>
          <w:sz w:val="28"/>
          <w:szCs w:val="28"/>
          <w14:textFill>
            <w14:solidFill>
              <w14:schemeClr w14:val="tx1"/>
            </w14:solidFill>
          </w14:textFill>
        </w:rPr>
        <w:t>教务处</w:t>
      </w:r>
    </w:p>
    <w:p>
      <w:pPr>
        <w:widowControl/>
        <w:ind w:right="240"/>
        <w:jc w:val="right"/>
        <w:rPr>
          <w:rFonts w:ascii="仿宋_GB2312" w:hAnsi="微软雅黑" w:eastAsia="仿宋_GB2312" w:cs="宋体"/>
          <w:color w:val="000000" w:themeColor="text1"/>
          <w:kern w:val="0"/>
          <w:sz w:val="28"/>
          <w:szCs w:val="28"/>
          <w14:textFill>
            <w14:solidFill>
              <w14:schemeClr w14:val="tx1"/>
            </w14:solidFill>
          </w14:textFill>
        </w:rPr>
      </w:pPr>
      <w:r>
        <w:rPr>
          <w:rFonts w:hint="eastAsia" w:ascii="仿宋_GB2312" w:hAnsi="微软雅黑" w:eastAsia="仿宋_GB2312" w:cs="宋体"/>
          <w:color w:val="000000" w:themeColor="text1"/>
          <w:kern w:val="0"/>
          <w:sz w:val="28"/>
          <w:szCs w:val="28"/>
          <w14:textFill>
            <w14:solidFill>
              <w14:schemeClr w14:val="tx1"/>
            </w14:solidFill>
          </w14:textFill>
        </w:rPr>
        <w:t>2022年1月10日</w:t>
      </w:r>
    </w:p>
    <w:p>
      <w:pPr>
        <w:widowControl/>
        <w:ind w:right="240"/>
        <w:jc w:val="right"/>
        <w:rPr>
          <w:rFonts w:ascii="仿宋_GB2312" w:hAnsi="微软雅黑" w:eastAsia="仿宋_GB2312" w:cs="宋体"/>
          <w:color w:val="000000" w:themeColor="text1"/>
          <w:kern w:val="0"/>
          <w:sz w:val="28"/>
          <w:szCs w:val="28"/>
          <w14:textFill>
            <w14:solidFill>
              <w14:schemeClr w14:val="tx1"/>
            </w14:solidFill>
          </w14:textFill>
        </w:rPr>
      </w:pPr>
    </w:p>
    <w:p>
      <w:pPr>
        <w:pStyle w:val="2"/>
        <w:spacing w:before="0" w:after="0" w:line="620" w:lineRule="exact"/>
        <w:ind w:firstLine="560" w:firstLineChars="200"/>
        <w:rPr>
          <w:rFonts w:ascii="仿宋_GB2312" w:hAnsi="微软雅黑" w:eastAsia="仿宋_GB2312" w:cs="宋体"/>
          <w:color w:val="000000" w:themeColor="text1"/>
          <w:kern w:val="0"/>
          <w:sz w:val="28"/>
          <w:szCs w:val="28"/>
          <w14:textFill>
            <w14:solidFill>
              <w14:schemeClr w14:val="tx1"/>
            </w14:solidFill>
          </w14:textFill>
        </w:rPr>
      </w:pPr>
    </w:p>
    <w:p/>
    <w:p/>
    <w:p/>
    <w:p/>
    <w:p/>
    <w:p/>
    <w:p/>
    <w:p/>
    <w:p/>
    <w:p/>
    <w:p/>
    <w:p/>
    <w:p>
      <w:pPr>
        <w:pStyle w:val="2"/>
        <w:spacing w:before="0" w:after="0" w:line="620" w:lineRule="exact"/>
        <w:rPr>
          <w:rFonts w:ascii="仿宋_GB2312" w:hAnsi="微软雅黑" w:eastAsia="仿宋_GB2312" w:cs="宋体"/>
          <w:color w:val="000000" w:themeColor="text1"/>
          <w:kern w:val="0"/>
          <w:sz w:val="28"/>
          <w:szCs w:val="28"/>
          <w14:textFill>
            <w14:solidFill>
              <w14:schemeClr w14:val="tx1"/>
            </w14:solidFill>
          </w14:textFill>
        </w:rPr>
      </w:pPr>
      <w:bookmarkStart w:id="0" w:name="_Toc92573172"/>
      <w:r>
        <w:rPr>
          <w:rFonts w:hint="eastAsia" w:ascii="仿宋_GB2312" w:hAnsi="微软雅黑" w:eastAsia="仿宋_GB2312" w:cs="宋体"/>
          <w:color w:val="000000" w:themeColor="text1"/>
          <w:kern w:val="0"/>
          <w:sz w:val="28"/>
          <w:szCs w:val="28"/>
          <w14:textFill>
            <w14:solidFill>
              <w14:schemeClr w14:val="tx1"/>
            </w14:solidFill>
          </w14:textFill>
        </w:rPr>
        <w:t>附：</w:t>
      </w:r>
    </w:p>
    <w:p>
      <w:pPr>
        <w:pStyle w:val="2"/>
        <w:spacing w:before="0" w:after="0" w:line="620" w:lineRule="exact"/>
        <w:rPr>
          <w:rFonts w:ascii="黑体" w:hAnsi="黑体" w:eastAsia="黑体"/>
          <w:sz w:val="32"/>
          <w:szCs w:val="32"/>
        </w:rPr>
      </w:pPr>
      <w:r>
        <w:rPr>
          <w:rFonts w:hint="eastAsia" w:ascii="黑体" w:hAnsi="黑体" w:eastAsia="黑体"/>
          <w:sz w:val="32"/>
          <w:szCs w:val="32"/>
        </w:rPr>
        <w:t>专家介绍</w:t>
      </w:r>
      <w:bookmarkEnd w:id="0"/>
    </w:p>
    <w:p>
      <w:pPr>
        <w:spacing w:line="500" w:lineRule="exact"/>
        <w:ind w:firstLine="560" w:firstLineChars="200"/>
        <w:rPr>
          <w:rFonts w:ascii="仿宋_GB2312" w:eastAsia="仿宋_GB2312"/>
          <w:sz w:val="28"/>
          <w:szCs w:val="28"/>
        </w:rPr>
      </w:pPr>
      <w:r>
        <w:rPr>
          <w:rFonts w:hint="eastAsia" w:ascii="仿宋_GB2312" w:eastAsia="仿宋_GB2312"/>
          <w:b/>
          <w:sz w:val="28"/>
          <w:szCs w:val="28"/>
        </w:rPr>
        <w:t>崔奎勇</w:t>
      </w:r>
      <w:r>
        <w:rPr>
          <w:rFonts w:hint="eastAsia" w:ascii="仿宋_GB2312" w:eastAsia="仿宋_GB2312"/>
          <w:sz w:val="28"/>
          <w:szCs w:val="28"/>
        </w:rPr>
        <w:t>，山东英才学院副校长，教授，山东省教育学会教育评估专业委员会常务理事，山东省教育科学专家库成员，主要研究领域为职业教育质量评价、院校评估、绩效考核、专业认证等。</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先后主持国家社科基金教育学课题2项、省级课题5项，在《中国高教研究》、《中国高等教育》等期刊发表学术论文20余篇，出版著作6部、教材5部，先后获得国家级教学成果奖二等奖1项、山东省教学成果一等奖2项、山东省教育科学优秀科研成果一等奖2项、山东省高校优秀科研成果一等奖1项。</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先后参与了教育部中国高等职业教育质量年度报告的撰写、教育部高职院校第三轮评估方案设计等工作；先后为职业院校作了质量管理、精细化管理、绩效考核、专业人才培养体系开发、职业院校内部评价改革等方面的报告和技术服务；参与指导了学前教育专业认证，系统设计了学前教育专业的人才培养体系和各类标准，顺利通过了教育部二级认证。</w:t>
      </w:r>
    </w:p>
    <w:p>
      <w:pPr>
        <w:spacing w:line="500" w:lineRule="exact"/>
        <w:ind w:firstLine="560" w:firstLineChars="200"/>
        <w:rPr>
          <w:rFonts w:ascii="仿宋_GB2312" w:hAnsi="宋体" w:eastAsia="仿宋_GB2312"/>
          <w:b/>
          <w:sz w:val="28"/>
          <w:szCs w:val="28"/>
        </w:rPr>
      </w:pPr>
      <w:r>
        <w:rPr>
          <w:rFonts w:hint="eastAsia" w:ascii="仿宋_GB2312" w:hAnsi="宋体" w:eastAsia="仿宋_GB2312"/>
          <w:b/>
          <w:sz w:val="28"/>
          <w:szCs w:val="28"/>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177800</wp:posOffset>
                </wp:positionV>
                <wp:extent cx="5226050" cy="19050"/>
                <wp:effectExtent l="0" t="0" r="12700" b="19050"/>
                <wp:wrapNone/>
                <wp:docPr id="6" name="直接连接符 6"/>
                <wp:cNvGraphicFramePr/>
                <a:graphic xmlns:a="http://schemas.openxmlformats.org/drawingml/2006/main">
                  <a:graphicData uri="http://schemas.microsoft.com/office/word/2010/wordprocessingShape">
                    <wps:wsp>
                      <wps:cNvCnPr/>
                      <wps:spPr>
                        <a:xfrm flipV="1">
                          <a:off x="0" y="0"/>
                          <a:ext cx="5226050" cy="19050"/>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pt;margin-top:14pt;height:1.5pt;width:411.5pt;z-index:251659264;mso-width-relative:page;mso-height-relative:page;" filled="f" stroked="t" coordsize="21600,21600" o:gfxdata="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E8VSnWAAAABwEAAA8AAAAAAAAAAQAgAAAAIgAAAGRycy9k&#10;b3ducmV2LnhtbFBLAQIUABQAAAAIAIdO4kAsqSVWBAIAAPkDAAAOAAAAAAAAAAEAIAAAACUBAABk&#10;cnMvZTJvRG9jLnhtbFBLBQYAAAAABgAGAFkBAACbBQAAAAA=&#10;">
                <v:fill on="f" focussize="0,0"/>
                <v:stroke weight="1pt" color="#808080 [1629]" miterlimit="8" joinstyle="miter"/>
                <v:imagedata o:title=""/>
                <o:lock v:ext="edit" aspectratio="f"/>
              </v:line>
            </w:pict>
          </mc:Fallback>
        </mc:AlternateContent>
      </w:r>
    </w:p>
    <w:p>
      <w:pPr>
        <w:spacing w:line="500" w:lineRule="exact"/>
        <w:ind w:firstLine="560" w:firstLineChars="200"/>
        <w:rPr>
          <w:rFonts w:ascii="仿宋_GB2312" w:hAnsi="宋体" w:eastAsia="仿宋_GB2312"/>
          <w:sz w:val="28"/>
          <w:szCs w:val="28"/>
        </w:rPr>
      </w:pPr>
      <w:r>
        <w:rPr>
          <w:rFonts w:hint="eastAsia" w:ascii="仿宋_GB2312" w:hAnsi="宋体" w:eastAsia="仿宋_GB2312"/>
          <w:b/>
          <w:sz w:val="28"/>
          <w:szCs w:val="28"/>
        </w:rPr>
        <w:t>报告摘要</w:t>
      </w:r>
      <w:r>
        <w:rPr>
          <w:rFonts w:hint="eastAsia" w:ascii="仿宋_GB2312" w:hAnsi="宋体" w:eastAsia="仿宋_GB2312"/>
          <w:sz w:val="28"/>
          <w:szCs w:val="28"/>
        </w:rPr>
        <w:t>：教育评价事关教育发展方向，有什么样的评价指挥棒，就有什么样的办学导向。全面对接“学生中心、产出导向、持续改进”的国际先进理念，创新本科职业教育人才培养质量评价，促进每个学生成才、促进学生全面成才亟待突破。本报告内容包括产出导向教育内涵、产出导向教育在我国的应用、产出导向的本科职业教育人才培养质量评价体系设计、国际经验对本科职业教育质量评价的启发等。</w:t>
      </w:r>
    </w:p>
    <w:p>
      <w:r>
        <w:br w:type="page"/>
      </w:r>
    </w:p>
    <w:p>
      <w:pPr>
        <w:spacing w:line="480" w:lineRule="exact"/>
        <w:ind w:firstLine="560" w:firstLineChars="200"/>
        <w:rPr>
          <w:rFonts w:ascii="Times New Roman" w:hAnsi="Times New Roman" w:eastAsia="仿宋_GB2312" w:cs="Times New Roman"/>
          <w:sz w:val="28"/>
        </w:rPr>
      </w:pPr>
      <w:r>
        <w:rPr>
          <w:rFonts w:ascii="Times New Roman" w:hAnsi="Times New Roman" w:eastAsia="仿宋_GB2312" w:cs="Times New Roman"/>
          <w:b/>
          <w:sz w:val="28"/>
        </w:rPr>
        <w:t>李强</w:t>
      </w:r>
      <w:r>
        <w:rPr>
          <w:rFonts w:ascii="Times New Roman" w:hAnsi="Times New Roman" w:eastAsia="仿宋_GB2312" w:cs="Times New Roman"/>
          <w:sz w:val="28"/>
        </w:rPr>
        <w:t>，湖南工业职业技术学院副校长，教授，高级工程师，湖南省“121”创新人才，国家级职业教育教师教学创新团队负责人，湖南省智能制造名师工作室主持人，全国机械行业服务先进制造专业领军人才，德国德累斯顿工业大学访问学者。</w:t>
      </w:r>
    </w:p>
    <w:p>
      <w:pPr>
        <w:spacing w:line="480" w:lineRule="exact"/>
        <w:ind w:firstLine="560" w:firstLineChars="200"/>
        <w:rPr>
          <w:rFonts w:ascii="Times New Roman" w:hAnsi="Times New Roman" w:eastAsia="仿宋_GB2312" w:cs="Times New Roman"/>
          <w:sz w:val="28"/>
        </w:rPr>
      </w:pPr>
      <w:r>
        <w:rPr>
          <w:rFonts w:ascii="Times New Roman" w:hAnsi="Times New Roman" w:eastAsia="仿宋_GB2312" w:cs="Times New Roman"/>
          <w:sz w:val="28"/>
        </w:rPr>
        <w:t>曾在军工行业工作10年，从事职教工作18年，先后担任教研室主任、机械工程学院副院长、教务处副处长、机械工程学院院长等职务。曾主持完成《机械产品检测与质量控制》国家精品课程、国家级精品资源共享课建设，主持国家“双高计划”专业群、国家级数控技术专业示范点、湖南省一流示范性特色专业群等重点项目9个。主持省市级课题8个，参与开发国家技术标准2个、专业教学标准2个、职业技能等级标准5个。曾获国家级教学成果奖2次，省级教学成果奖2次，机械行业成果奖4项。近年担任全国设施管理标准化委员会委员、全国机械行业教指委数控技术专指委委员，工业工程与管理专指委委员、中国技能大赛技术专家组专家等社会兼职工作。</w:t>
      </w:r>
    </w:p>
    <w:p>
      <w:pPr>
        <w:pStyle w:val="10"/>
        <w:ind w:firstLine="562"/>
      </w:pPr>
      <w:r>
        <w:rPr>
          <w:rFonts w:hint="eastAsia" w:ascii="仿宋_GB2312" w:hAnsi="宋体" w:eastAsia="仿宋_GB2312"/>
          <w:b/>
          <w:sz w:val="28"/>
          <w:szCs w:val="28"/>
        </w:rPr>
        <mc:AlternateContent>
          <mc:Choice Requires="wps">
            <w:drawing>
              <wp:anchor distT="0" distB="0" distL="114300" distR="114300" simplePos="0" relativeHeight="251660288" behindDoc="0" locked="0" layoutInCell="1" allowOverlap="1">
                <wp:simplePos x="0" y="0"/>
                <wp:positionH relativeFrom="column">
                  <wp:posOffset>12700</wp:posOffset>
                </wp:positionH>
                <wp:positionV relativeFrom="paragraph">
                  <wp:posOffset>177800</wp:posOffset>
                </wp:positionV>
                <wp:extent cx="5226050" cy="19050"/>
                <wp:effectExtent l="0" t="0" r="12700" b="19050"/>
                <wp:wrapNone/>
                <wp:docPr id="11" name="直接连接符 11"/>
                <wp:cNvGraphicFramePr/>
                <a:graphic xmlns:a="http://schemas.openxmlformats.org/drawingml/2006/main">
                  <a:graphicData uri="http://schemas.microsoft.com/office/word/2010/wordprocessingShape">
                    <wps:wsp>
                      <wps:cNvCnPr/>
                      <wps:spPr>
                        <a:xfrm flipV="1">
                          <a:off x="0" y="0"/>
                          <a:ext cx="5226050" cy="19050"/>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pt;margin-top:14pt;height:1.5pt;width:411.5pt;z-index:251660288;mso-width-relative:page;mso-height-relative:page;" filled="f" stroked="t" coordsize="21600,21600" o:gfxdata="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8TuoVdQAAAAHAQAADwAAAAAAAAABACAAAAAiAAAAZHJzL2Rv&#10;d25yZXYueG1sUEsBAhQAFAAAAAgAh07iQBrAF3QFAgAA+wMAAA4AAAAAAAAAAQAgAAAAIwEAAGRy&#10;cy9lMm9Eb2MueG1sUEsFBgAAAAAGAAYAWQEAAJoFAAAAAA==&#10;">
                <v:fill on="f" focussize="0,0"/>
                <v:stroke weight="1pt" color="#808080 [1629]" miterlimit="8" joinstyle="miter"/>
                <v:imagedata o:title=""/>
                <o:lock v:ext="edit" aspectratio="f"/>
              </v:line>
            </w:pict>
          </mc:Fallback>
        </mc:AlternateContent>
      </w:r>
    </w:p>
    <w:p>
      <w:pPr>
        <w:spacing w:line="500" w:lineRule="exact"/>
        <w:ind w:firstLine="560" w:firstLineChars="200"/>
        <w:rPr>
          <w:rFonts w:ascii="仿宋_GB2312" w:hAnsi="宋体" w:eastAsia="仿宋_GB2312"/>
          <w:sz w:val="28"/>
          <w:szCs w:val="28"/>
        </w:rPr>
      </w:pPr>
      <w:r>
        <w:rPr>
          <w:rFonts w:hint="eastAsia" w:ascii="仿宋_GB2312" w:hAnsi="宋体" w:eastAsia="仿宋_GB2312"/>
          <w:b/>
          <w:sz w:val="28"/>
          <w:szCs w:val="28"/>
        </w:rPr>
        <w:t>报告摘要：</w:t>
      </w:r>
      <w:r>
        <w:rPr>
          <w:rFonts w:hint="eastAsia" w:ascii="仿宋_GB2312" w:hAnsi="宋体" w:eastAsia="仿宋_GB2312"/>
          <w:sz w:val="28"/>
          <w:szCs w:val="28"/>
        </w:rPr>
        <w:t>围绕为什么发展本科层次职业教育，如何申报职教本科学校和专业，如何办好职教本科专业等问题开展探讨，明确职教本科的定位、内涵，解读相关政策文件对职教本科学校和专业的具体要求；结合已有的申报工作经验，探讨申报职教本科学校和专业的策略，明确申报材料编制和现场考察准备的注意事项，了解专业人才培养方案和相关材料编制的步骤，探讨如何快速提升专业办学指标和内涵质量的路径和方法。</w:t>
      </w:r>
    </w:p>
    <w:p>
      <w:r>
        <w:br w:type="page"/>
      </w:r>
    </w:p>
    <w:p>
      <w:pPr>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b/>
          <w:sz w:val="28"/>
          <w:szCs w:val="28"/>
        </w:rPr>
        <w:t>覃川</w:t>
      </w:r>
      <w:r>
        <w:rPr>
          <w:rFonts w:ascii="Times New Roman" w:hAnsi="Times New Roman" w:eastAsia="仿宋_GB2312" w:cs="Times New Roman"/>
          <w:sz w:val="28"/>
          <w:szCs w:val="28"/>
        </w:rPr>
        <w:t>，青岛职业技术学院原院长，教授。</w:t>
      </w:r>
      <w:r>
        <w:rPr>
          <w:rFonts w:ascii="Times New Roman" w:hAnsi="Times New Roman" w:eastAsia="仿宋_GB2312" w:cs="Times New Roman"/>
          <w:sz w:val="28"/>
          <w:szCs w:val="28"/>
        </w:rPr>
        <w:cr/>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兼任：山东省职业教育学会副会长，新西兰国立中部理工学院荣誉教授等职。</w:t>
      </w:r>
      <w:r>
        <w:rPr>
          <w:rFonts w:ascii="Times New Roman" w:hAnsi="Times New Roman" w:eastAsia="仿宋_GB2312" w:cs="Times New Roman"/>
          <w:sz w:val="28"/>
          <w:szCs w:val="28"/>
        </w:rPr>
        <w:cr/>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曾任：青岛九中教师，青岛市政府文教卫生办公室副处长，青岛市教育局处长，青岛职业技术学院副院长；教育部高等学校创业教育指导委员会委员，教育部职业院校文化素质教育指导委员会委员；中国职业技术教育学会常务理事、人文素质教育专业委员会会长，中国教育国际交流协会常务理事、职教分会副理事长；华东师范大学教育学院兼职教授；青岛市第十二、十三届政协委员等职。</w:t>
      </w:r>
      <w:r>
        <w:rPr>
          <w:rFonts w:ascii="Times New Roman" w:hAnsi="Times New Roman" w:eastAsia="仿宋_GB2312" w:cs="Times New Roman"/>
          <w:sz w:val="28"/>
          <w:szCs w:val="28"/>
        </w:rPr>
        <w:cr/>
      </w:r>
      <w:r>
        <w:rPr>
          <w:rFonts w:ascii="Times New Roman" w:hAnsi="Times New Roman" w:eastAsia="仿宋_GB2312" w:cs="Times New Roman"/>
          <w:sz w:val="28"/>
          <w:szCs w:val="28"/>
        </w:rPr>
        <w:t>主要学术成果：在国家核心期刊等杂志上发表论文69篇，出版图书12部；承担省部级研究课题16项；获国家教学成果二等奖2项，省部级成果奖16项。</w:t>
      </w:r>
      <w:r>
        <w:rPr>
          <w:rFonts w:ascii="Times New Roman" w:hAnsi="Times New Roman" w:eastAsia="仿宋_GB2312" w:cs="Times New Roman"/>
          <w:sz w:val="28"/>
          <w:szCs w:val="28"/>
        </w:rPr>
        <w:cr/>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2016年获学生最喜爱的大学校长荣誉称号。</w:t>
      </w:r>
    </w:p>
    <w:p>
      <w:pPr>
        <w:spacing w:line="480" w:lineRule="exact"/>
        <w:ind w:firstLine="560" w:firstLineChars="200"/>
        <w:rPr>
          <w:rFonts w:ascii="Times New Roman" w:hAnsi="Times New Roman" w:eastAsia="仿宋_GB2312" w:cs="Times New Roman"/>
          <w:sz w:val="28"/>
          <w:szCs w:val="28"/>
        </w:rPr>
      </w:pPr>
      <w:r>
        <w:rPr>
          <w:rFonts w:hint="eastAsia" w:ascii="仿宋_GB2312" w:hAnsi="宋体" w:eastAsia="仿宋_GB2312"/>
          <w:b/>
          <w:sz w:val="28"/>
          <w:szCs w:val="28"/>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165100</wp:posOffset>
                </wp:positionV>
                <wp:extent cx="5226050" cy="19050"/>
                <wp:effectExtent l="0" t="0" r="12700" b="19050"/>
                <wp:wrapNone/>
                <wp:docPr id="14" name="直接连接符 14"/>
                <wp:cNvGraphicFramePr/>
                <a:graphic xmlns:a="http://schemas.openxmlformats.org/drawingml/2006/main">
                  <a:graphicData uri="http://schemas.microsoft.com/office/word/2010/wordprocessingShape">
                    <wps:wsp>
                      <wps:cNvCnPr/>
                      <wps:spPr>
                        <a:xfrm flipV="1">
                          <a:off x="0" y="0"/>
                          <a:ext cx="5226050" cy="19050"/>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5pt;margin-top:13pt;height:1.5pt;width:411.5pt;z-index:251661312;mso-width-relative:page;mso-height-relative:page;" filled="f" stroked="t" coordsize="21600,21600" o:gfxdata="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iShZ7VAAAABwEAAA8AAAAAAAAAAQAgAAAAIgAAAGRycy9k&#10;b3ducmV2LnhtbFBLAQIUABQAAAAIAIdO4kDZWHDZBQIAAPsDAAAOAAAAAAAAAAEAIAAAACQBAABk&#10;cnMvZTJvRG9jLnhtbFBLBQYAAAAABgAGAFkBAACbBQAAAAA=&#10;">
                <v:fill on="f" focussize="0,0"/>
                <v:stroke weight="1pt" color="#808080 [1629]" miterlimit="8" joinstyle="miter"/>
                <v:imagedata o:title=""/>
                <o:lock v:ext="edit" aspectratio="f"/>
              </v:line>
            </w:pict>
          </mc:Fallback>
        </mc:AlternateContent>
      </w:r>
    </w:p>
    <w:p>
      <w:pPr>
        <w:spacing w:line="48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b/>
          <w:sz w:val="28"/>
          <w:szCs w:val="28"/>
        </w:rPr>
        <w:t>报告摘要</w:t>
      </w:r>
      <w:r>
        <w:rPr>
          <w:rFonts w:hint="eastAsia" w:ascii="Times New Roman" w:hAnsi="Times New Roman" w:eastAsia="仿宋_GB2312" w:cs="Times New Roman"/>
          <w:sz w:val="28"/>
          <w:szCs w:val="28"/>
        </w:rPr>
        <w:t>：第四代工业革命（工业4.0）“互联、数据、集成、创新、转型”的特点，导致数字岗位的剧增，数字人才的急缺；网络环境下成长原住民的基因现状，也导致传统人才培养模式的不适应。与此同时，面对数字产业发展的日新月异，专业内涵建设与行业产业市场的需求存在落差。因此，作为实施类型教育的职业院校，就应该紧跟“数字中国”发展的进程，通过数字赋能专业群内涵建设，变革数字化人才模式。一是，构建起数字化的专业群体系；二是，深化数字化课程改革；三是，推进以数字为特征的“新三教”改革；四是，强化数字教学资源库与管理平台建设；五是，构建数字教学场景与校园生态空间。</w:t>
      </w:r>
      <w:r>
        <w:rPr>
          <w:rFonts w:hint="eastAsia" w:ascii="Times New Roman" w:hAnsi="Times New Roman" w:eastAsia="仿宋_GB2312" w:cs="Times New Roman"/>
          <w:sz w:val="28"/>
          <w:szCs w:val="28"/>
        </w:rPr>
        <w:cr/>
      </w:r>
      <w:r>
        <w:rPr>
          <w:rFonts w:hint="eastAsia" w:ascii="Times New Roman" w:hAnsi="Times New Roman" w:eastAsia="仿宋_GB2312" w:cs="Times New Roman"/>
          <w:sz w:val="28"/>
          <w:szCs w:val="28"/>
        </w:rPr>
        <w:t xml:space="preserve">    基本观点陈述，典型案例分享，模式路径介绍，实施策略呈现。</w:t>
      </w:r>
    </w:p>
    <w:p>
      <w:pPr>
        <w:spacing w:line="440" w:lineRule="exact"/>
        <w:ind w:firstLine="480" w:firstLineChars="200"/>
        <w:rPr>
          <w:rFonts w:ascii="Times New Roman" w:hAnsi="Times New Roman" w:eastAsia="仿宋_GB2312" w:cs="Times New Roman"/>
          <w:b/>
          <w:sz w:val="24"/>
          <w:szCs w:val="21"/>
        </w:rPr>
      </w:pPr>
    </w:p>
    <w:p>
      <w:pPr>
        <w:spacing w:line="440" w:lineRule="exact"/>
        <w:ind w:firstLine="480" w:firstLineChars="200"/>
        <w:rPr>
          <w:rFonts w:ascii="Times New Roman" w:hAnsi="Times New Roman" w:eastAsia="仿宋_GB2312" w:cs="Times New Roman"/>
          <w:b/>
          <w:sz w:val="24"/>
          <w:szCs w:val="21"/>
        </w:rPr>
      </w:pPr>
    </w:p>
    <w:p>
      <w:pPr>
        <w:spacing w:line="440" w:lineRule="exact"/>
        <w:ind w:firstLine="480" w:firstLineChars="200"/>
        <w:rPr>
          <w:rFonts w:ascii="Times New Roman" w:hAnsi="Times New Roman" w:eastAsia="仿宋_GB2312" w:cs="Times New Roman"/>
          <w:b/>
          <w:sz w:val="24"/>
          <w:szCs w:val="21"/>
        </w:rPr>
      </w:pPr>
    </w:p>
    <w:p>
      <w:pPr>
        <w:spacing w:line="440" w:lineRule="exact"/>
        <w:ind w:firstLine="480" w:firstLineChars="200"/>
        <w:rPr>
          <w:rFonts w:ascii="Times New Roman" w:hAnsi="Times New Roman" w:eastAsia="仿宋_GB2312" w:cs="Times New Roman"/>
          <w:b/>
          <w:sz w:val="24"/>
          <w:szCs w:val="21"/>
        </w:rPr>
      </w:pPr>
    </w:p>
    <w:p>
      <w:pPr>
        <w:spacing w:line="44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b/>
          <w:sz w:val="28"/>
          <w:szCs w:val="28"/>
        </w:rPr>
        <w:t>何汉武</w:t>
      </w:r>
      <w:r>
        <w:rPr>
          <w:rFonts w:hint="eastAsia" w:ascii="仿宋_GB2312" w:hAnsi="Times New Roman" w:eastAsia="仿宋_GB2312" w:cs="Times New Roman"/>
          <w:sz w:val="28"/>
          <w:szCs w:val="28"/>
        </w:rPr>
        <w:t>，广东工贸职业技术学院校长，二级教授，广东工业大学博士生导师，广东省虚拟现实及可视化工程研究中心主任，广东省普通高校创新团队负责人（“面向智能制造的VR/AR应用技术研究协同创新团队”），中国人工智能学会智能制造专业委员会副主任，</w:t>
      </w:r>
      <w:r>
        <w:rPr>
          <w:rFonts w:hint="eastAsia" w:ascii="仿宋_GB2312" w:hAnsi="Times New Roman" w:eastAsia="仿宋_GB2312" w:cs="Times New Roman"/>
          <w:sz w:val="28"/>
          <w:szCs w:val="28"/>
        </w:rPr>
        <w:tab/>
      </w:r>
      <w:r>
        <w:rPr>
          <w:rFonts w:hint="eastAsia" w:ascii="仿宋_GB2312" w:hAnsi="Times New Roman" w:eastAsia="仿宋_GB2312" w:cs="Times New Roman"/>
          <w:sz w:val="28"/>
          <w:szCs w:val="28"/>
        </w:rPr>
        <w:t>广东省机械工程学会副理事长。</w:t>
      </w:r>
    </w:p>
    <w:p>
      <w:pPr>
        <w:spacing w:line="44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毕业于华中理工大学，获学士、硕士、博士学位（现华中科技大学）。1992.7在广东工业大学工作，期间曾任机电工程学院副院长，教务处处长。曾为香港理工大学大学访问学者，英国利物浦大学访问教授。是广东省“千百十”工程省级培养对象，广东省南粤优秀教师(2007年)。2016.11任广东工贸职业技术学院院长。</w:t>
      </w:r>
    </w:p>
    <w:p>
      <w:pPr>
        <w:spacing w:line="44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b/>
          <w:sz w:val="28"/>
          <w:szCs w:val="28"/>
        </w:rPr>
        <mc:AlternateContent>
          <mc:Choice Requires="wps">
            <w:drawing>
              <wp:anchor distT="0" distB="0" distL="114300" distR="114300" simplePos="0" relativeHeight="251662336" behindDoc="0" locked="0" layoutInCell="1" allowOverlap="1">
                <wp:simplePos x="0" y="0"/>
                <wp:positionH relativeFrom="column">
                  <wp:posOffset>57150</wp:posOffset>
                </wp:positionH>
                <wp:positionV relativeFrom="paragraph">
                  <wp:posOffset>1939925</wp:posOffset>
                </wp:positionV>
                <wp:extent cx="5226050" cy="19050"/>
                <wp:effectExtent l="0" t="0" r="12700" b="19050"/>
                <wp:wrapNone/>
                <wp:docPr id="15" name="直接连接符 15"/>
                <wp:cNvGraphicFramePr/>
                <a:graphic xmlns:a="http://schemas.openxmlformats.org/drawingml/2006/main">
                  <a:graphicData uri="http://schemas.microsoft.com/office/word/2010/wordprocessingShape">
                    <wps:wsp>
                      <wps:cNvCnPr/>
                      <wps:spPr>
                        <a:xfrm flipV="1">
                          <a:off x="0" y="0"/>
                          <a:ext cx="5226050" cy="19050"/>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5pt;margin-top:152.75pt;height:1.5pt;width:411.5pt;z-index:251662336;mso-width-relative:page;mso-height-relative:page;" filled="f" stroked="t" coordsize="21600,21600" o:gfxdata="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TK7F9cAAAAJAQAADwAAAAAAAAABACAAAAAiAAAAZHJz&#10;L2Rvd25yZXYueG1sUEsBAhQAFAAAAAgAh07iQPPedJcFAgAA+wMAAA4AAAAAAAAAAQAgAAAAJgEA&#10;AGRycy9lMm9Eb2MueG1sUEsFBgAAAAAGAAYAWQEAAJ0FAAAAAA==&#10;">
                <v:fill on="f" focussize="0,0"/>
                <v:stroke weight="1pt" color="#808080 [1629]" miterlimit="8" joinstyle="miter"/>
                <v:imagedata o:title=""/>
                <o:lock v:ext="edit" aspectratio="f"/>
              </v:line>
            </w:pict>
          </mc:Fallback>
        </mc:AlternateContent>
      </w:r>
      <w:r>
        <w:rPr>
          <w:rFonts w:hint="eastAsia" w:ascii="仿宋_GB2312" w:hAnsi="Times New Roman" w:eastAsia="仿宋_GB2312" w:cs="Times New Roman"/>
          <w:sz w:val="28"/>
          <w:szCs w:val="28"/>
        </w:rPr>
        <w:t>长期从事虚拟现实（VR）、增强现实（AR）、计算机视觉处理、智能制造、虚拟医疗手术及装备等研究。主持国家自然科学基金2项，国家科技部重大项目（子课题）1项，教育部博士点基金1项，广东省、广州市科技项目及企业委托项目20多项。曾获1995年国家科技进步三等奖，国家教学成果二等奖（2014年），广东省教学成果一等奖（2014）、二等奖（2009），教育部科技进步二等奖1项（1999年）, 广东省科技进步一等奖1项（2008）。</w:t>
      </w:r>
      <w:r>
        <w:rPr>
          <w:rFonts w:hint="eastAsia" w:ascii="仿宋_GB2312" w:hAnsi="Times New Roman" w:eastAsia="仿宋_GB2312" w:cs="Times New Roman"/>
          <w:sz w:val="28"/>
          <w:szCs w:val="28"/>
        </w:rPr>
        <w:cr/>
      </w:r>
      <w:r>
        <w:rPr>
          <w:rFonts w:hint="eastAsia" w:ascii="仿宋_GB2312" w:hAnsi="Times New Roman" w:eastAsia="仿宋_GB2312" w:cs="Times New Roman"/>
          <w:sz w:val="28"/>
          <w:szCs w:val="28"/>
        </w:rPr>
        <w:t>报告摘要：虚拟现实（VR）是数字时代最具颠覆性特征的技术之一，被誉为能够深刻改变人类生产生活方式的技术，当然也会对大学的教育技术和教学模式产生深远的影响。本报告将从VR/AR是什么？从此技术所涉及到的科学技术问题入手来阐述其数字化特征及对职业教育的影响，赋能职业教育的几种方式及应用。报告以对职业院校人才培养十分重要的两个关键着力点的典型实践案例为切入点，分析VR/AR赋能混合式教改，赋能虚拟仿真实训的理念、路径与方法。具体内容包括VR（AR,MR，XR）数字技术特征，VR/AR 应用前景， 5G+背景下的VR/AR，VR/AR赋能职业教育的几种方式，VR/AR与混合式教改，VR/AR+虚拟仿真实训。</w:t>
      </w:r>
      <w:r>
        <w:rPr>
          <w:rFonts w:hint="eastAsia" w:ascii="仿宋_GB2312" w:hAnsi="Times New Roman" w:eastAsia="仿宋_GB2312" w:cs="Times New Roman"/>
          <w:sz w:val="28"/>
          <w:szCs w:val="28"/>
        </w:rPr>
        <w:cr/>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altName w:val="Arial Unicode MS"/>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1B6"/>
    <w:rsid w:val="000067B8"/>
    <w:rsid w:val="003D1F24"/>
    <w:rsid w:val="004E7425"/>
    <w:rsid w:val="005524CF"/>
    <w:rsid w:val="006601B6"/>
    <w:rsid w:val="00722E60"/>
    <w:rsid w:val="00901A48"/>
    <w:rsid w:val="009268DC"/>
    <w:rsid w:val="0097524E"/>
    <w:rsid w:val="00BF2606"/>
    <w:rsid w:val="00C7699F"/>
    <w:rsid w:val="00C839FA"/>
    <w:rsid w:val="0A242D42"/>
    <w:rsid w:val="4D6B781D"/>
    <w:rsid w:val="67553383"/>
    <w:rsid w:val="69F86277"/>
    <w:rsid w:val="6C671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spacing w:before="75" w:beforeAutospacing="0" w:after="75" w:afterAutospacing="0"/>
      <w:ind w:left="0" w:right="0"/>
      <w:jc w:val="left"/>
    </w:pPr>
    <w:rPr>
      <w:kern w:val="0"/>
      <w:sz w:val="24"/>
      <w:lang w:val="en-US" w:eastAsia="zh-CN" w:bidi="ar"/>
    </w:rPr>
  </w:style>
  <w:style w:type="table" w:styleId="5">
    <w:name w:val="Table Grid"/>
    <w:basedOn w:val="4"/>
    <w:qFormat/>
    <w:uiPriority w:val="3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8">
    <w:name w:val="Table Paragraph"/>
    <w:basedOn w:val="1"/>
    <w:qFormat/>
    <w:uiPriority w:val="1"/>
    <w:pPr>
      <w:autoSpaceDE w:val="0"/>
      <w:autoSpaceDN w:val="0"/>
      <w:jc w:val="left"/>
    </w:pPr>
    <w:rPr>
      <w:rFonts w:ascii="Times New Roman" w:hAnsi="Times New Roman" w:eastAsia="Times New Roman" w:cs="Times New Roman"/>
      <w:kern w:val="0"/>
      <w:sz w:val="22"/>
    </w:rPr>
  </w:style>
  <w:style w:type="character" w:customStyle="1" w:styleId="9">
    <w:name w:val="标题 1 字符"/>
    <w:basedOn w:val="6"/>
    <w:link w:val="2"/>
    <w:qFormat/>
    <w:uiPriority w:val="0"/>
    <w:rPr>
      <w:b/>
      <w:bCs/>
      <w:kern w:val="44"/>
      <w:sz w:val="44"/>
      <w:szCs w:val="44"/>
    </w:rPr>
  </w:style>
  <w:style w:type="paragraph" w:customStyle="1" w:styleId="10">
    <w:name w:val="标书正文1"/>
    <w:basedOn w:val="1"/>
    <w:qFormat/>
    <w:uiPriority w:val="0"/>
    <w:pPr>
      <w:spacing w:line="520" w:lineRule="exact"/>
      <w:ind w:firstLine="640" w:firstLineChars="200"/>
    </w:pPr>
    <w:rPr>
      <w:rFonts w:ascii="Calibri" w:hAnsi="Calibri"/>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508</Words>
  <Characters>2898</Characters>
  <Lines>24</Lines>
  <Paragraphs>6</Paragraphs>
  <TotalTime>18</TotalTime>
  <ScaleCrop>false</ScaleCrop>
  <LinksUpToDate>false</LinksUpToDate>
  <CharactersWithSpaces>3400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2022-01-10T11:04:00Z</dcterms:created>
  <dc:creator>周峰</dc:creator>
  <cp:lastModifiedBy>ivyminer</cp:lastModifiedBy>
  <dcterms:modified xsi:type="dcterms:W3CDTF">2022-01-11T02:43:56Z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D843F38EF0ED4A1299F06843B90B6F4E</vt:lpwstr>
  </property>
</Properties>
</file>